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A025" w14:textId="27CD6936" w:rsidR="009C3E33" w:rsidRPr="005B4405" w:rsidRDefault="009C3E33">
      <w:pPr>
        <w:rPr>
          <w:lang w:val="en-US"/>
        </w:rPr>
      </w:pPr>
    </w:p>
    <w:p w14:paraId="694DD534" w14:textId="77777777" w:rsidR="00B94D00" w:rsidRPr="005B4405" w:rsidRDefault="00B94D00">
      <w:pPr>
        <w:rPr>
          <w:lang w:val="en-US"/>
        </w:rPr>
      </w:pPr>
    </w:p>
    <w:p w14:paraId="009CECF6" w14:textId="1F3B4880" w:rsidR="00B94D00" w:rsidRPr="005B4405" w:rsidRDefault="00B94D00" w:rsidP="00B94D00">
      <w:pPr>
        <w:jc w:val="center"/>
        <w:rPr>
          <w:b/>
          <w:bCs/>
          <w:lang w:val="en-US"/>
        </w:rPr>
      </w:pPr>
      <w:r w:rsidRPr="005B4405">
        <w:rPr>
          <w:b/>
          <w:bCs/>
          <w:lang w:val="en-US"/>
        </w:rPr>
        <w:t>Comments on the Draft General Comment No. 38 on Article 22</w:t>
      </w:r>
    </w:p>
    <w:p w14:paraId="2C70D9C3" w14:textId="78F24062" w:rsidR="00B94D00" w:rsidRPr="005B4405" w:rsidRDefault="00B94D00" w:rsidP="00B94D00">
      <w:pPr>
        <w:jc w:val="center"/>
        <w:rPr>
          <w:b/>
          <w:bCs/>
          <w:lang w:val="en-US"/>
        </w:rPr>
      </w:pPr>
      <w:r w:rsidRPr="005B4405">
        <w:rPr>
          <w:b/>
          <w:bCs/>
          <w:lang w:val="en-US"/>
        </w:rPr>
        <w:t>of the International Covenant on Civil and Political Rights</w:t>
      </w:r>
    </w:p>
    <w:p w14:paraId="557E63DD" w14:textId="77777777" w:rsidR="00906F10" w:rsidRPr="005B4405" w:rsidRDefault="00906F10" w:rsidP="00B94D00">
      <w:pPr>
        <w:jc w:val="center"/>
        <w:rPr>
          <w:i/>
          <w:iCs/>
          <w:lang w:val="en-US"/>
        </w:rPr>
      </w:pPr>
    </w:p>
    <w:p w14:paraId="6391BD4D" w14:textId="7D6DF910" w:rsidR="00B94D00" w:rsidRPr="005B4405" w:rsidRDefault="4971E490" w:rsidP="2E2A6911">
      <w:pPr>
        <w:spacing w:line="259" w:lineRule="auto"/>
        <w:jc w:val="center"/>
        <w:rPr>
          <w:i/>
          <w:iCs/>
          <w:lang w:val="en-US"/>
        </w:rPr>
      </w:pPr>
      <w:r w:rsidRPr="2E2A6911">
        <w:rPr>
          <w:i/>
          <w:iCs/>
          <w:lang w:val="en-US"/>
        </w:rPr>
        <w:t xml:space="preserve">1 July </w:t>
      </w:r>
      <w:r w:rsidR="00522F3C" w:rsidRPr="2E2A6911">
        <w:rPr>
          <w:i/>
          <w:iCs/>
          <w:lang w:val="en-US"/>
        </w:rPr>
        <w:t>2026</w:t>
      </w:r>
    </w:p>
    <w:p w14:paraId="7DAAB81F" w14:textId="77777777" w:rsidR="00811D99" w:rsidRPr="005B4405" w:rsidRDefault="00811D99" w:rsidP="00906F10">
      <w:pPr>
        <w:tabs>
          <w:tab w:val="left" w:pos="5364"/>
        </w:tabs>
        <w:spacing w:after="240"/>
        <w:jc w:val="both"/>
        <w:rPr>
          <w:lang w:val="en-US"/>
        </w:rPr>
      </w:pPr>
    </w:p>
    <w:p w14:paraId="0C5DEA9A" w14:textId="1872E007" w:rsidR="00811D99" w:rsidRPr="005B4405" w:rsidRDefault="00811D99" w:rsidP="00811D99">
      <w:pPr>
        <w:pStyle w:val="ListParagraph"/>
        <w:numPr>
          <w:ilvl w:val="0"/>
          <w:numId w:val="1"/>
        </w:numPr>
        <w:tabs>
          <w:tab w:val="left" w:pos="5364"/>
        </w:tabs>
        <w:spacing w:after="240"/>
        <w:jc w:val="both"/>
        <w:rPr>
          <w:b/>
          <w:bCs/>
          <w:lang w:val="en-US"/>
        </w:rPr>
      </w:pPr>
      <w:r w:rsidRPr="005B4405">
        <w:rPr>
          <w:b/>
          <w:bCs/>
          <w:lang w:val="en-US"/>
        </w:rPr>
        <w:t>Introduction</w:t>
      </w:r>
    </w:p>
    <w:p w14:paraId="72B38E33" w14:textId="10C6CD41" w:rsidR="0074110F" w:rsidRPr="005B4405" w:rsidRDefault="59C066C3" w:rsidP="00906F10">
      <w:pPr>
        <w:tabs>
          <w:tab w:val="left" w:pos="5364"/>
        </w:tabs>
        <w:spacing w:after="240"/>
        <w:jc w:val="both"/>
        <w:rPr>
          <w:lang w:val="en-US"/>
        </w:rPr>
      </w:pPr>
      <w:r w:rsidRPr="005B4405">
        <w:rPr>
          <w:lang w:val="en-US"/>
        </w:rPr>
        <w:t>EuroMed Rights</w:t>
      </w:r>
      <w:r w:rsidRPr="5363F397">
        <w:rPr>
          <w:lang w:val="en-US"/>
        </w:rPr>
        <w:t>, founded in 1997, is a network of 68 organizations active in 30 countries across the Euro-Mediterranean region working on the protection of human rights and promotion of democracy.</w:t>
      </w:r>
      <w:r w:rsidR="00522F3C" w:rsidRPr="5363F397">
        <w:rPr>
          <w:rStyle w:val="FootnoteReference"/>
          <w:lang w:val="en-US"/>
        </w:rPr>
        <w:footnoteReference w:id="1"/>
      </w:r>
      <w:r w:rsidRPr="5363F397">
        <w:rPr>
          <w:lang w:val="en-US"/>
        </w:rPr>
        <w:t xml:space="preserve"> Its mission is to strengthen the collaboration between human rights </w:t>
      </w:r>
      <w:r w:rsidR="03F0D245" w:rsidRPr="5363F397">
        <w:rPr>
          <w:lang w:val="en-US"/>
        </w:rPr>
        <w:t>organizations</w:t>
      </w:r>
      <w:r w:rsidRPr="5363F397">
        <w:rPr>
          <w:lang w:val="en-US"/>
        </w:rPr>
        <w:t xml:space="preserve"> from the South, the East and the North of the Mediterranean, and to increase their influence at home and abroad. This mission is achieved by facilitating the creation of joint strategies and action plans between members, and by conveying their shared analyses and views to decision-makers and to the public.</w:t>
      </w:r>
      <w:r w:rsidR="03F0D245" w:rsidRPr="5363F397">
        <w:rPr>
          <w:lang w:val="en-US"/>
        </w:rPr>
        <w:t xml:space="preserve"> </w:t>
      </w:r>
    </w:p>
    <w:p w14:paraId="19610900" w14:textId="77777777" w:rsidR="005268DF" w:rsidRDefault="7E561F1D" w:rsidP="75A3D3A2">
      <w:pPr>
        <w:tabs>
          <w:tab w:val="left" w:pos="5364"/>
        </w:tabs>
        <w:spacing w:after="240"/>
        <w:jc w:val="both"/>
        <w:rPr>
          <w:rFonts w:eastAsiaTheme="minorEastAsia"/>
          <w:lang w:val="en-US"/>
        </w:rPr>
      </w:pPr>
      <w:r w:rsidRPr="5363F397">
        <w:rPr>
          <w:lang w:val="en-US"/>
        </w:rPr>
        <w:t xml:space="preserve">This </w:t>
      </w:r>
      <w:r w:rsidR="6E21DDF4" w:rsidRPr="5363F397">
        <w:rPr>
          <w:lang w:val="en-US"/>
        </w:rPr>
        <w:t>comment</w:t>
      </w:r>
      <w:r w:rsidRPr="5363F397">
        <w:rPr>
          <w:lang w:val="en-US"/>
        </w:rPr>
        <w:t xml:space="preserve"> builds on EuroMed Rights’ previous work on civic space and</w:t>
      </w:r>
      <w:r w:rsidR="64CCC32D" w:rsidRPr="5363F397">
        <w:rPr>
          <w:lang w:val="en-US"/>
        </w:rPr>
        <w:t xml:space="preserve"> the right to</w:t>
      </w:r>
      <w:r w:rsidRPr="5363F397">
        <w:rPr>
          <w:lang w:val="en-US"/>
        </w:rPr>
        <w:t xml:space="preserve"> freedom of association</w:t>
      </w:r>
      <w:r w:rsidR="44782787" w:rsidRPr="5363F397">
        <w:rPr>
          <w:lang w:val="en-US"/>
        </w:rPr>
        <w:t xml:space="preserve"> (</w:t>
      </w:r>
      <w:proofErr w:type="spellStart"/>
      <w:r w:rsidR="44782787" w:rsidRPr="5363F397">
        <w:rPr>
          <w:lang w:val="en-US"/>
        </w:rPr>
        <w:t>FoA</w:t>
      </w:r>
      <w:proofErr w:type="spellEnd"/>
      <w:r w:rsidR="44782787" w:rsidRPr="5363F397">
        <w:rPr>
          <w:lang w:val="en-US"/>
        </w:rPr>
        <w:t>)</w:t>
      </w:r>
      <w:r w:rsidR="6E21DDF4" w:rsidRPr="5363F397">
        <w:rPr>
          <w:lang w:val="en-US"/>
        </w:rPr>
        <w:t xml:space="preserve"> in the region</w:t>
      </w:r>
      <w:r w:rsidR="6E7ECA76" w:rsidRPr="5363F397">
        <w:rPr>
          <w:lang w:val="en-US"/>
        </w:rPr>
        <w:t>.</w:t>
      </w:r>
      <w:r w:rsidR="6E21DDF4" w:rsidRPr="5363F397">
        <w:rPr>
          <w:lang w:val="en-US"/>
        </w:rPr>
        <w:t xml:space="preserve"> </w:t>
      </w:r>
      <w:r w:rsidR="03F0D245" w:rsidRPr="5363F397">
        <w:rPr>
          <w:lang w:val="en-US"/>
        </w:rPr>
        <w:t>As per its strategy of increased accountability, justice and space for civil society and strengthened democracy and fundamental freedoms, EuroMed Rights</w:t>
      </w:r>
      <w:r w:rsidR="4B8F3B65" w:rsidRPr="5363F397">
        <w:rPr>
          <w:lang w:val="en-US"/>
        </w:rPr>
        <w:t xml:space="preserve"> has been working with its member organizations and other human rights actors in </w:t>
      </w:r>
      <w:r w:rsidR="02BDF079" w:rsidRPr="5363F397">
        <w:rPr>
          <w:lang w:val="en-US"/>
        </w:rPr>
        <w:t>Türkiye</w:t>
      </w:r>
      <w:r w:rsidR="2BF773D9" w:rsidRPr="5363F397">
        <w:rPr>
          <w:lang w:val="en-US"/>
        </w:rPr>
        <w:t xml:space="preserve"> for many years</w:t>
      </w:r>
      <w:r w:rsidRPr="5363F397">
        <w:rPr>
          <w:rStyle w:val="FootnoteReference"/>
          <w:lang w:val="en-US"/>
        </w:rPr>
        <w:footnoteReference w:id="2"/>
      </w:r>
      <w:r w:rsidRPr="5363F397">
        <w:rPr>
          <w:lang w:val="en-US"/>
        </w:rPr>
        <w:t>￼</w:t>
      </w:r>
      <w:r w:rsidR="6CAE5361" w:rsidRPr="5363F397">
        <w:rPr>
          <w:lang w:val="en-US"/>
        </w:rPr>
        <w:t xml:space="preserve"> </w:t>
      </w:r>
      <w:r w:rsidR="4B8F3B65" w:rsidRPr="5363F397">
        <w:rPr>
          <w:lang w:val="en-US"/>
        </w:rPr>
        <w:t xml:space="preserve"> </w:t>
      </w:r>
      <w:r w:rsidR="6CAE5361" w:rsidRPr="5363F397">
        <w:rPr>
          <w:lang w:val="en-US"/>
        </w:rPr>
        <w:t>Within the scope of the</w:t>
      </w:r>
      <w:r w:rsidR="278E66D1" w:rsidRPr="5363F397">
        <w:rPr>
          <w:lang w:val="en-US"/>
        </w:rPr>
        <w:t xml:space="preserve"> EU funded</w:t>
      </w:r>
      <w:r w:rsidR="6CAE5361" w:rsidRPr="5363F397">
        <w:rPr>
          <w:lang w:val="en-US"/>
        </w:rPr>
        <w:t xml:space="preserve"> project Empowering Civil Society to Fight Impunity</w:t>
      </w:r>
      <w:r w:rsidR="36E978F5" w:rsidRPr="5363F397">
        <w:rPr>
          <w:lang w:val="en-US"/>
        </w:rPr>
        <w:t xml:space="preserve">, implemented by EuroMed Rights in collaboration with two prominent human rights organizations in </w:t>
      </w:r>
      <w:r w:rsidR="6779F457" w:rsidRPr="5363F397">
        <w:rPr>
          <w:lang w:val="en-US"/>
        </w:rPr>
        <w:t>Türkiye</w:t>
      </w:r>
      <w:r w:rsidR="36E978F5" w:rsidRPr="5363F397">
        <w:rPr>
          <w:lang w:val="en-US"/>
        </w:rPr>
        <w:t xml:space="preserve">, the Human Rights Association </w:t>
      </w:r>
      <w:r w:rsidR="7D066A6F" w:rsidRPr="5363F397">
        <w:rPr>
          <w:lang w:val="en-US"/>
        </w:rPr>
        <w:t xml:space="preserve">(IHD) </w:t>
      </w:r>
      <w:r w:rsidR="36E978F5" w:rsidRPr="5363F397">
        <w:rPr>
          <w:lang w:val="en-US"/>
        </w:rPr>
        <w:t>and the Human Rights Joint Platform</w:t>
      </w:r>
      <w:r w:rsidR="422161A6" w:rsidRPr="75A3D3A2">
        <w:rPr>
          <w:lang w:val="en-US"/>
        </w:rPr>
        <w:t xml:space="preserve"> (IHOP)</w:t>
      </w:r>
      <w:r w:rsidR="36E978F5" w:rsidRPr="75A3D3A2">
        <w:rPr>
          <w:lang w:val="en-US"/>
        </w:rPr>
        <w:t xml:space="preserve">, EuroMed Rights has been focusing on </w:t>
      </w:r>
      <w:r w:rsidR="3C17FA32" w:rsidRPr="75A3D3A2">
        <w:rPr>
          <w:rFonts w:ascii="Segoe UI" w:eastAsia="Segoe UI" w:hAnsi="Segoe UI" w:cs="Segoe UI"/>
          <w:color w:val="242424"/>
          <w:sz w:val="21"/>
          <w:szCs w:val="21"/>
          <w:lang w:val="en-US"/>
        </w:rPr>
        <w:t xml:space="preserve"> </w:t>
      </w:r>
      <w:r w:rsidR="3C17FA32" w:rsidRPr="75A3D3A2">
        <w:rPr>
          <w:rFonts w:eastAsiaTheme="minorEastAsia"/>
          <w:lang w:val="en-US"/>
        </w:rPr>
        <w:t>promoting accountability and fight impunity for grave human rights violations. In addition</w:t>
      </w:r>
      <w:r w:rsidR="35D400D9" w:rsidRPr="75A3D3A2">
        <w:rPr>
          <w:rFonts w:eastAsiaTheme="minorEastAsia"/>
          <w:lang w:val="en-US"/>
        </w:rPr>
        <w:t>, E</w:t>
      </w:r>
      <w:r w:rsidR="363965AB" w:rsidRPr="75A3D3A2">
        <w:rPr>
          <w:rFonts w:eastAsiaTheme="minorEastAsia"/>
          <w:lang w:val="en-US"/>
        </w:rPr>
        <w:t>uroMed Rights</w:t>
      </w:r>
      <w:r w:rsidR="35D400D9" w:rsidRPr="75A3D3A2">
        <w:rPr>
          <w:rFonts w:eastAsiaTheme="minorEastAsia"/>
          <w:lang w:val="en-US"/>
        </w:rPr>
        <w:t xml:space="preserve"> supports the capacity of civil society to document practices and identify gaps in the legal system, to </w:t>
      </w:r>
      <w:r w:rsidR="005268DF" w:rsidRPr="75A3D3A2">
        <w:rPr>
          <w:rFonts w:eastAsiaTheme="minorEastAsia"/>
          <w:lang w:val="en-US"/>
        </w:rPr>
        <w:t>strategize</w:t>
      </w:r>
      <w:r w:rsidR="35D400D9" w:rsidRPr="75A3D3A2">
        <w:rPr>
          <w:rFonts w:eastAsiaTheme="minorEastAsia"/>
          <w:lang w:val="en-US"/>
        </w:rPr>
        <w:t xml:space="preserve"> together and push for meaningful reform through dialogue with local and international authorities and human rights bodies, and to protect victims of human rights abuses</w:t>
      </w:r>
      <w:r w:rsidR="005268DF" w:rsidRPr="75A3D3A2">
        <w:rPr>
          <w:rFonts w:eastAsiaTheme="minorEastAsia"/>
          <w:lang w:val="en-US"/>
        </w:rPr>
        <w:t>.</w:t>
      </w:r>
    </w:p>
    <w:p w14:paraId="08801C13" w14:textId="610BB664" w:rsidR="008B2422" w:rsidRDefault="59018B1B" w:rsidP="00680AFF">
      <w:pPr>
        <w:tabs>
          <w:tab w:val="left" w:pos="5364"/>
        </w:tabs>
        <w:spacing w:after="240"/>
        <w:jc w:val="both"/>
        <w:rPr>
          <w:lang w:val="en-US"/>
        </w:rPr>
      </w:pPr>
      <w:r w:rsidRPr="33D87F2B">
        <w:rPr>
          <w:lang w:val="en-US"/>
        </w:rPr>
        <w:t xml:space="preserve">EuroMed Rights strongly supports the General Comment initiative and is pleased to have the opportunity to contribute to its drafting. </w:t>
      </w:r>
    </w:p>
    <w:p w14:paraId="29C9D0FB" w14:textId="392D2FE5" w:rsidR="00FD23D2" w:rsidRPr="00FD23D2" w:rsidRDefault="00FD23D2" w:rsidP="00FD23D2">
      <w:pPr>
        <w:pStyle w:val="ListParagraph"/>
        <w:numPr>
          <w:ilvl w:val="0"/>
          <w:numId w:val="1"/>
        </w:numPr>
        <w:tabs>
          <w:tab w:val="left" w:pos="5364"/>
        </w:tabs>
        <w:spacing w:after="240"/>
        <w:jc w:val="both"/>
        <w:rPr>
          <w:b/>
          <w:bCs/>
          <w:lang w:val="en-US"/>
        </w:rPr>
      </w:pPr>
      <w:r>
        <w:rPr>
          <w:b/>
          <w:bCs/>
          <w:lang w:val="en-US"/>
        </w:rPr>
        <w:t>Structure of the Comment</w:t>
      </w:r>
    </w:p>
    <w:p w14:paraId="435F7515" w14:textId="6534CF2F" w:rsidR="005F1729" w:rsidRDefault="6E21DDF4" w:rsidP="5363F397">
      <w:pPr>
        <w:tabs>
          <w:tab w:val="left" w:pos="5364"/>
        </w:tabs>
        <w:spacing w:after="240" w:line="259" w:lineRule="auto"/>
        <w:jc w:val="both"/>
        <w:rPr>
          <w:lang w:val="en-US"/>
        </w:rPr>
      </w:pPr>
      <w:r w:rsidRPr="5363F397">
        <w:rPr>
          <w:lang w:val="en-US"/>
        </w:rPr>
        <w:t>While the comment also draws on documentation o</w:t>
      </w:r>
      <w:r w:rsidR="365D1E8C" w:rsidRPr="5363F397">
        <w:rPr>
          <w:lang w:val="en-US"/>
        </w:rPr>
        <w:t>f</w:t>
      </w:r>
      <w:r w:rsidRPr="5363F397">
        <w:rPr>
          <w:lang w:val="en-US"/>
        </w:rPr>
        <w:t xml:space="preserve"> </w:t>
      </w:r>
      <w:proofErr w:type="spellStart"/>
      <w:r w:rsidRPr="5363F397">
        <w:rPr>
          <w:lang w:val="en-US"/>
        </w:rPr>
        <w:t>FoA</w:t>
      </w:r>
      <w:proofErr w:type="spellEnd"/>
      <w:r w:rsidRPr="5363F397">
        <w:rPr>
          <w:lang w:val="en-US"/>
        </w:rPr>
        <w:t xml:space="preserve"> in the Euro-Mediterranean region and elsewhere, we draw on systematic violations of </w:t>
      </w:r>
      <w:proofErr w:type="spellStart"/>
      <w:r w:rsidRPr="5363F397">
        <w:rPr>
          <w:lang w:val="en-US"/>
        </w:rPr>
        <w:t>FoA</w:t>
      </w:r>
      <w:proofErr w:type="spellEnd"/>
      <w:r w:rsidRPr="5363F397">
        <w:rPr>
          <w:lang w:val="en-US"/>
        </w:rPr>
        <w:t xml:space="preserve"> in </w:t>
      </w:r>
      <w:r w:rsidR="6779F457" w:rsidRPr="5363F397">
        <w:rPr>
          <w:lang w:val="en-US"/>
        </w:rPr>
        <w:t>Türkiye</w:t>
      </w:r>
      <w:r w:rsidRPr="5363F397">
        <w:rPr>
          <w:lang w:val="en-US"/>
        </w:rPr>
        <w:t xml:space="preserve"> specifically </w:t>
      </w:r>
      <w:proofErr w:type="gramStart"/>
      <w:r w:rsidRPr="5363F397">
        <w:rPr>
          <w:lang w:val="en-US"/>
        </w:rPr>
        <w:t>in order to</w:t>
      </w:r>
      <w:proofErr w:type="gramEnd"/>
      <w:r w:rsidRPr="5363F397">
        <w:rPr>
          <w:lang w:val="en-US"/>
        </w:rPr>
        <w:t xml:space="preserve"> structure our recommendations to the Draft General Comment. </w:t>
      </w:r>
      <w:r w:rsidR="6779F457" w:rsidRPr="5363F397">
        <w:rPr>
          <w:lang w:val="en-US"/>
        </w:rPr>
        <w:t>Türkiye</w:t>
      </w:r>
      <w:r w:rsidR="6F4E98F2" w:rsidRPr="5363F397">
        <w:rPr>
          <w:lang w:val="en-US"/>
        </w:rPr>
        <w:t xml:space="preserve"> is chosen as an </w:t>
      </w:r>
      <w:r w:rsidR="6F4E98F2" w:rsidRPr="5363F397">
        <w:rPr>
          <w:lang w:val="en-US"/>
        </w:rPr>
        <w:lastRenderedPageBreak/>
        <w:t xml:space="preserve">illustrative case study </w:t>
      </w:r>
      <w:r w:rsidR="7E2D242D" w:rsidRPr="5363F397">
        <w:rPr>
          <w:lang w:val="en-US"/>
        </w:rPr>
        <w:t xml:space="preserve">as </w:t>
      </w:r>
      <w:r w:rsidRPr="5363F397">
        <w:rPr>
          <w:lang w:val="en-US"/>
        </w:rPr>
        <w:t xml:space="preserve">it has been exemplifying worrisome trends concerning declining democratic values and shrinking civic space for over a decade. </w:t>
      </w:r>
      <w:r w:rsidR="7EFC684C" w:rsidRPr="5363F397">
        <w:rPr>
          <w:lang w:val="en-US"/>
        </w:rPr>
        <w:t xml:space="preserve">Instead of commenting on </w:t>
      </w:r>
      <w:r w:rsidRPr="5363F397">
        <w:rPr>
          <w:lang w:val="en-US"/>
        </w:rPr>
        <w:t>every issue</w:t>
      </w:r>
      <w:r w:rsidR="7EFC684C" w:rsidRPr="5363F397">
        <w:rPr>
          <w:lang w:val="en-US"/>
        </w:rPr>
        <w:t xml:space="preserve">, we use </w:t>
      </w:r>
      <w:r w:rsidR="6779F457" w:rsidRPr="5363F397">
        <w:rPr>
          <w:lang w:val="en-US"/>
        </w:rPr>
        <w:t>Türkiye</w:t>
      </w:r>
      <w:r w:rsidR="7EFC684C" w:rsidRPr="5363F397">
        <w:rPr>
          <w:lang w:val="en-US"/>
        </w:rPr>
        <w:t xml:space="preserve"> to pinpoint critical recommendations stemming from </w:t>
      </w:r>
      <w:r w:rsidR="20C9E9AB" w:rsidRPr="5363F397">
        <w:rPr>
          <w:lang w:val="en-US"/>
        </w:rPr>
        <w:t xml:space="preserve">documented </w:t>
      </w:r>
      <w:r w:rsidRPr="5363F397">
        <w:rPr>
          <w:lang w:val="en-US"/>
        </w:rPr>
        <w:t xml:space="preserve">trends in </w:t>
      </w:r>
      <w:proofErr w:type="spellStart"/>
      <w:r w:rsidRPr="5363F397">
        <w:rPr>
          <w:lang w:val="en-US"/>
        </w:rPr>
        <w:t>FoA</w:t>
      </w:r>
      <w:proofErr w:type="spellEnd"/>
      <w:r w:rsidRPr="5363F397">
        <w:rPr>
          <w:lang w:val="en-US"/>
        </w:rPr>
        <w:t xml:space="preserve"> violations</w:t>
      </w:r>
      <w:r w:rsidR="349DB26D" w:rsidRPr="5363F397">
        <w:rPr>
          <w:lang w:val="en-US"/>
        </w:rPr>
        <w:t xml:space="preserve">, particularly harassment of human rights defenders and </w:t>
      </w:r>
      <w:r w:rsidR="30D182BC" w:rsidRPr="5363F397">
        <w:rPr>
          <w:lang w:val="en-US"/>
        </w:rPr>
        <w:t>organizations</w:t>
      </w:r>
      <w:r w:rsidR="349DB26D" w:rsidRPr="5363F397">
        <w:rPr>
          <w:lang w:val="en-US"/>
        </w:rPr>
        <w:t xml:space="preserve"> for political motives, the weaponization of “public moral</w:t>
      </w:r>
      <w:r w:rsidR="6343659A" w:rsidRPr="5363F397">
        <w:rPr>
          <w:lang w:val="en-US"/>
        </w:rPr>
        <w:t>s</w:t>
      </w:r>
      <w:r w:rsidR="349DB26D" w:rsidRPr="5363F397">
        <w:rPr>
          <w:lang w:val="en-US"/>
        </w:rPr>
        <w:t xml:space="preserve">” </w:t>
      </w:r>
      <w:r w:rsidR="6343659A" w:rsidRPr="5363F397">
        <w:rPr>
          <w:lang w:val="en-US"/>
        </w:rPr>
        <w:t xml:space="preserve">and “national security”, </w:t>
      </w:r>
      <w:r w:rsidR="349DB26D" w:rsidRPr="5363F397">
        <w:rPr>
          <w:lang w:val="en-US"/>
        </w:rPr>
        <w:t>involuntary dissolution of associations,</w:t>
      </w:r>
      <w:r w:rsidR="7C4CB04E" w:rsidRPr="5363F397">
        <w:rPr>
          <w:lang w:val="en-US"/>
        </w:rPr>
        <w:t xml:space="preserve"> </w:t>
      </w:r>
      <w:r w:rsidRPr="5363F397">
        <w:rPr>
          <w:lang w:val="en-US"/>
        </w:rPr>
        <w:t xml:space="preserve">and </w:t>
      </w:r>
      <w:r w:rsidR="70767D59" w:rsidRPr="5363F397">
        <w:rPr>
          <w:lang w:val="en-US"/>
        </w:rPr>
        <w:t xml:space="preserve">the lack of an enabling environment </w:t>
      </w:r>
      <w:r w:rsidRPr="5363F397">
        <w:rPr>
          <w:lang w:val="en-US"/>
        </w:rPr>
        <w:t xml:space="preserve">for the exercise of </w:t>
      </w:r>
      <w:proofErr w:type="spellStart"/>
      <w:r w:rsidRPr="5363F397">
        <w:rPr>
          <w:lang w:val="en-US"/>
        </w:rPr>
        <w:t>FoA</w:t>
      </w:r>
      <w:proofErr w:type="spellEnd"/>
      <w:r w:rsidRPr="5363F397">
        <w:rPr>
          <w:lang w:val="en-US"/>
        </w:rPr>
        <w:t>.</w:t>
      </w:r>
    </w:p>
    <w:p w14:paraId="4640E7EA" w14:textId="711C5375" w:rsidR="0030719E" w:rsidRPr="005B4405" w:rsidRDefault="7C4CB04E" w:rsidP="00485325">
      <w:pPr>
        <w:tabs>
          <w:tab w:val="left" w:pos="5364"/>
        </w:tabs>
        <w:spacing w:after="240"/>
        <w:jc w:val="both"/>
      </w:pPr>
      <w:r>
        <w:rPr>
          <w:lang w:val="en-US"/>
        </w:rPr>
        <w:t xml:space="preserve">A common thread across our comments </w:t>
      </w:r>
      <w:r w:rsidR="108DF165">
        <w:rPr>
          <w:lang w:val="en-US"/>
        </w:rPr>
        <w:t>is</w:t>
      </w:r>
      <w:r>
        <w:rPr>
          <w:lang w:val="en-US"/>
        </w:rPr>
        <w:t xml:space="preserve"> acknowledge</w:t>
      </w:r>
      <w:r w:rsidR="108DF165">
        <w:rPr>
          <w:lang w:val="en-US"/>
        </w:rPr>
        <w:t>ment of</w:t>
      </w:r>
      <w:r>
        <w:rPr>
          <w:lang w:val="en-US"/>
        </w:rPr>
        <w:t xml:space="preserve"> and address</w:t>
      </w:r>
      <w:r w:rsidR="108DF165">
        <w:rPr>
          <w:lang w:val="en-US"/>
        </w:rPr>
        <w:t>ing</w:t>
      </w:r>
      <w:r>
        <w:rPr>
          <w:lang w:val="en-US"/>
        </w:rPr>
        <w:t xml:space="preserve"> </w:t>
      </w:r>
      <w:r w:rsidR="108DF165">
        <w:rPr>
          <w:lang w:val="en-US"/>
        </w:rPr>
        <w:t xml:space="preserve">concrete manifestations of </w:t>
      </w:r>
      <w:r>
        <w:rPr>
          <w:lang w:val="en-US"/>
        </w:rPr>
        <w:t xml:space="preserve">the </w:t>
      </w:r>
      <w:r w:rsidR="108DF165">
        <w:rPr>
          <w:lang w:val="en-US"/>
        </w:rPr>
        <w:t>“global attack”</w:t>
      </w:r>
      <w:r w:rsidR="00473D59">
        <w:rPr>
          <w:rStyle w:val="FootnoteReference"/>
          <w:lang w:val="en-US"/>
        </w:rPr>
        <w:footnoteReference w:id="3"/>
      </w:r>
      <w:r w:rsidR="108DF165">
        <w:rPr>
          <w:lang w:val="en-US"/>
        </w:rPr>
        <w:t xml:space="preserve"> against </w:t>
      </w:r>
      <w:r w:rsidR="668A7053">
        <w:rPr>
          <w:lang w:val="en-US"/>
        </w:rPr>
        <w:t>civic space</w:t>
      </w:r>
      <w:r w:rsidR="108DF165">
        <w:rPr>
          <w:lang w:val="en-US"/>
        </w:rPr>
        <w:t xml:space="preserve"> and the “existential threat”</w:t>
      </w:r>
      <w:r w:rsidR="00473D59">
        <w:rPr>
          <w:rStyle w:val="FootnoteReference"/>
          <w:lang w:val="en-US"/>
        </w:rPr>
        <w:footnoteReference w:id="4"/>
      </w:r>
      <w:r w:rsidR="108DF165">
        <w:rPr>
          <w:lang w:val="en-US"/>
        </w:rPr>
        <w:t xml:space="preserve"> </w:t>
      </w:r>
      <w:proofErr w:type="spellStart"/>
      <w:r w:rsidR="668A7053">
        <w:rPr>
          <w:lang w:val="en-US"/>
        </w:rPr>
        <w:t>FoA</w:t>
      </w:r>
      <w:proofErr w:type="spellEnd"/>
      <w:r w:rsidR="108DF165">
        <w:rPr>
          <w:lang w:val="en-US"/>
        </w:rPr>
        <w:t xml:space="preserve"> is facing against the backdrop of the crisis of international human rights</w:t>
      </w:r>
      <w:r w:rsidR="5ADED722" w:rsidRPr="5363F397">
        <w:rPr>
          <w:lang w:val="en-US"/>
        </w:rPr>
        <w:t xml:space="preserve"> law</w:t>
      </w:r>
      <w:r w:rsidRPr="5363F397">
        <w:rPr>
          <w:lang w:val="en-US"/>
        </w:rPr>
        <w:t xml:space="preserve">. </w:t>
      </w:r>
    </w:p>
    <w:p w14:paraId="6BD40E4D" w14:textId="5EC729ED" w:rsidR="0030719E" w:rsidRPr="005B4405" w:rsidRDefault="4BDA74BD" w:rsidP="00485325">
      <w:pPr>
        <w:tabs>
          <w:tab w:val="left" w:pos="5364"/>
        </w:tabs>
        <w:spacing w:after="240"/>
        <w:jc w:val="both"/>
        <w:rPr>
          <w:lang w:val="en-US"/>
        </w:rPr>
      </w:pPr>
      <w:r w:rsidRPr="33D87F2B">
        <w:rPr>
          <w:lang w:val="en-US"/>
        </w:rPr>
        <w:t>States are increasingly and blatantly violating international law, denouncing multilateralism, and producing counter-human rights</w:t>
      </w:r>
      <w:r w:rsidR="37B2DBFE" w:rsidRPr="33D87F2B">
        <w:rPr>
          <w:lang w:val="en-US"/>
        </w:rPr>
        <w:t>’</w:t>
      </w:r>
      <w:r w:rsidRPr="33D87F2B">
        <w:rPr>
          <w:lang w:val="en-US"/>
        </w:rPr>
        <w:t xml:space="preserve"> narratives. Given the severity of attacks against </w:t>
      </w:r>
      <w:proofErr w:type="spellStart"/>
      <w:r w:rsidRPr="33D87F2B">
        <w:rPr>
          <w:lang w:val="en-US"/>
        </w:rPr>
        <w:t>FoA</w:t>
      </w:r>
      <w:proofErr w:type="spellEnd"/>
      <w:r w:rsidRPr="33D87F2B">
        <w:rPr>
          <w:lang w:val="en-US"/>
        </w:rPr>
        <w:t xml:space="preserve"> globally, which has also motivated the initiative for a General Comment, the General Comment should</w:t>
      </w:r>
      <w:r w:rsidR="47D465A0" w:rsidRPr="33D87F2B">
        <w:rPr>
          <w:lang w:val="en-US"/>
        </w:rPr>
        <w:t>,</w:t>
      </w:r>
      <w:r w:rsidRPr="33D87F2B">
        <w:rPr>
          <w:lang w:val="en-US"/>
        </w:rPr>
        <w:t xml:space="preserve"> to the extent possible</w:t>
      </w:r>
      <w:r w:rsidR="1EC0C730" w:rsidRPr="33D87F2B">
        <w:rPr>
          <w:lang w:val="en-US"/>
        </w:rPr>
        <w:t>,</w:t>
      </w:r>
      <w:r w:rsidRPr="33D87F2B">
        <w:rPr>
          <w:lang w:val="en-US"/>
        </w:rPr>
        <w:t xml:space="preserve"> address </w:t>
      </w:r>
      <w:r w:rsidR="66A5482F" w:rsidRPr="33D87F2B">
        <w:rPr>
          <w:lang w:val="en-US"/>
        </w:rPr>
        <w:t>mutual</w:t>
      </w:r>
      <w:r w:rsidRPr="33D87F2B">
        <w:rPr>
          <w:lang w:val="en-US"/>
        </w:rPr>
        <w:t xml:space="preserve"> themes regarding </w:t>
      </w:r>
      <w:proofErr w:type="spellStart"/>
      <w:r w:rsidRPr="33D87F2B">
        <w:rPr>
          <w:lang w:val="en-US"/>
        </w:rPr>
        <w:t>FoA</w:t>
      </w:r>
      <w:proofErr w:type="spellEnd"/>
      <w:r w:rsidRPr="33D87F2B">
        <w:rPr>
          <w:lang w:val="en-US"/>
        </w:rPr>
        <w:t xml:space="preserve"> violations</w:t>
      </w:r>
      <w:r w:rsidR="0974F2EE" w:rsidRPr="33D87F2B">
        <w:rPr>
          <w:lang w:val="en-US"/>
        </w:rPr>
        <w:t xml:space="preserve">. </w:t>
      </w:r>
      <w:proofErr w:type="gramStart"/>
      <w:r w:rsidR="0974F2EE" w:rsidRPr="33D87F2B">
        <w:rPr>
          <w:lang w:val="en-US"/>
        </w:rPr>
        <w:t>In particular, it</w:t>
      </w:r>
      <w:proofErr w:type="gramEnd"/>
      <w:r w:rsidR="0974F2EE" w:rsidRPr="33D87F2B">
        <w:rPr>
          <w:lang w:val="en-US"/>
        </w:rPr>
        <w:t xml:space="preserve"> should</w:t>
      </w:r>
      <w:r w:rsidRPr="33D87F2B">
        <w:rPr>
          <w:lang w:val="en-US"/>
        </w:rPr>
        <w:t xml:space="preserve"> counter potential arguments by States seeking to unjustly restrict </w:t>
      </w:r>
      <w:proofErr w:type="spellStart"/>
      <w:r w:rsidRPr="33D87F2B">
        <w:rPr>
          <w:lang w:val="en-US"/>
        </w:rPr>
        <w:t>FoA</w:t>
      </w:r>
      <w:proofErr w:type="spellEnd"/>
      <w:r w:rsidR="0974F2EE" w:rsidRPr="33D87F2B">
        <w:rPr>
          <w:lang w:val="en-US"/>
        </w:rPr>
        <w:t>, for which</w:t>
      </w:r>
      <w:r w:rsidR="55769869" w:rsidRPr="33D87F2B">
        <w:rPr>
          <w:lang w:val="en-US"/>
        </w:rPr>
        <w:t xml:space="preserve"> </w:t>
      </w:r>
      <w:r w:rsidR="0974F2EE" w:rsidRPr="33D87F2B">
        <w:rPr>
          <w:lang w:val="en-US"/>
        </w:rPr>
        <w:t>t</w:t>
      </w:r>
      <w:r w:rsidR="55769869" w:rsidRPr="33D87F2B">
        <w:rPr>
          <w:lang w:val="en-US"/>
        </w:rPr>
        <w:t xml:space="preserve">here are </w:t>
      </w:r>
      <w:proofErr w:type="gramStart"/>
      <w:r w:rsidR="0974F2EE" w:rsidRPr="33D87F2B">
        <w:rPr>
          <w:lang w:val="en-US"/>
        </w:rPr>
        <w:t>numerous</w:t>
      </w:r>
      <w:r w:rsidRPr="33D87F2B">
        <w:rPr>
          <w:lang w:val="en-US"/>
        </w:rPr>
        <w:t xml:space="preserve">  precedent</w:t>
      </w:r>
      <w:r w:rsidR="1750F5BF" w:rsidRPr="33D87F2B">
        <w:rPr>
          <w:lang w:val="en-US"/>
        </w:rPr>
        <w:t>s</w:t>
      </w:r>
      <w:proofErr w:type="gramEnd"/>
      <w:r w:rsidRPr="33D87F2B">
        <w:rPr>
          <w:lang w:val="en-US"/>
        </w:rPr>
        <w:t xml:space="preserve"> in States’ human rights reporting, to support the General Comment’s practical use for the exercise of </w:t>
      </w:r>
      <w:proofErr w:type="spellStart"/>
      <w:r w:rsidRPr="33D87F2B">
        <w:rPr>
          <w:lang w:val="en-US"/>
        </w:rPr>
        <w:t>FoA</w:t>
      </w:r>
      <w:proofErr w:type="spellEnd"/>
      <w:r w:rsidRPr="33D87F2B">
        <w:rPr>
          <w:lang w:val="en-US"/>
        </w:rPr>
        <w:t>.</w:t>
      </w:r>
    </w:p>
    <w:p w14:paraId="729FA4D6" w14:textId="5A422BD0" w:rsidR="00485325" w:rsidRPr="005B4405" w:rsidRDefault="00485325" w:rsidP="00FD23D2">
      <w:pPr>
        <w:pStyle w:val="ListParagraph"/>
        <w:numPr>
          <w:ilvl w:val="0"/>
          <w:numId w:val="1"/>
        </w:numPr>
        <w:tabs>
          <w:tab w:val="left" w:pos="5364"/>
        </w:tabs>
        <w:spacing w:after="240"/>
        <w:jc w:val="both"/>
        <w:rPr>
          <w:b/>
          <w:bCs/>
          <w:lang w:val="en-US"/>
        </w:rPr>
      </w:pPr>
      <w:r w:rsidRPr="005B4405">
        <w:rPr>
          <w:b/>
          <w:bCs/>
          <w:lang w:val="en-US"/>
        </w:rPr>
        <w:t>Comments on the Draft General Comment No. 38</w:t>
      </w:r>
    </w:p>
    <w:p w14:paraId="6B8C3FA4" w14:textId="77777777" w:rsidR="00894F28" w:rsidRPr="005B4405" w:rsidRDefault="00894F28" w:rsidP="00894F28">
      <w:pPr>
        <w:pStyle w:val="ListParagraph"/>
        <w:tabs>
          <w:tab w:val="left" w:pos="5364"/>
        </w:tabs>
        <w:spacing w:after="240"/>
        <w:ind w:left="1080"/>
        <w:jc w:val="both"/>
        <w:rPr>
          <w:b/>
          <w:bCs/>
          <w:lang w:val="en-US"/>
        </w:rPr>
      </w:pPr>
    </w:p>
    <w:p w14:paraId="2DC24205" w14:textId="288B86E1" w:rsidR="003814D1" w:rsidRPr="005B4405" w:rsidRDefault="00033B07" w:rsidP="00FD23D2">
      <w:pPr>
        <w:pStyle w:val="ListParagraph"/>
        <w:numPr>
          <w:ilvl w:val="1"/>
          <w:numId w:val="7"/>
        </w:numPr>
        <w:tabs>
          <w:tab w:val="left" w:pos="5364"/>
        </w:tabs>
        <w:spacing w:after="240"/>
        <w:jc w:val="both"/>
        <w:rPr>
          <w:b/>
          <w:bCs/>
          <w:lang w:val="en-US"/>
        </w:rPr>
      </w:pPr>
      <w:r w:rsidRPr="005B4405">
        <w:rPr>
          <w:b/>
          <w:bCs/>
          <w:lang w:val="en-US"/>
        </w:rPr>
        <w:t>Section I: General Remarks</w:t>
      </w:r>
    </w:p>
    <w:p w14:paraId="52954B01" w14:textId="77777777" w:rsidR="00894F28" w:rsidRPr="005B4405" w:rsidRDefault="00894F28" w:rsidP="00894F28">
      <w:pPr>
        <w:pStyle w:val="ListParagraph"/>
        <w:tabs>
          <w:tab w:val="left" w:pos="5364"/>
        </w:tabs>
        <w:spacing w:after="240"/>
        <w:ind w:left="2340"/>
        <w:jc w:val="both"/>
        <w:rPr>
          <w:b/>
          <w:bCs/>
          <w:lang w:val="en-US"/>
        </w:rPr>
      </w:pPr>
    </w:p>
    <w:p w14:paraId="01CD5122" w14:textId="376C09FD" w:rsidR="00894F28" w:rsidRPr="005B4405" w:rsidRDefault="00894F28" w:rsidP="00FD23D2">
      <w:pPr>
        <w:pStyle w:val="ListParagraph"/>
        <w:numPr>
          <w:ilvl w:val="2"/>
          <w:numId w:val="7"/>
        </w:numPr>
        <w:tabs>
          <w:tab w:val="left" w:pos="5364"/>
        </w:tabs>
        <w:spacing w:after="240"/>
        <w:jc w:val="both"/>
        <w:rPr>
          <w:b/>
          <w:bCs/>
          <w:lang w:val="en-US"/>
        </w:rPr>
      </w:pPr>
      <w:r w:rsidRPr="005B4405">
        <w:rPr>
          <w:b/>
          <w:bCs/>
          <w:lang w:val="en-US"/>
        </w:rPr>
        <w:t>Paragraph 9: Human Rights Defenders</w:t>
      </w:r>
    </w:p>
    <w:p w14:paraId="23991E67" w14:textId="6FF47C08" w:rsidR="00B53BB2" w:rsidRPr="005B4405" w:rsidRDefault="00B53BB2" w:rsidP="000C3F42">
      <w:pPr>
        <w:tabs>
          <w:tab w:val="left" w:pos="5364"/>
        </w:tabs>
        <w:spacing w:after="240"/>
        <w:jc w:val="both"/>
        <w:rPr>
          <w:lang w:val="en-US"/>
        </w:rPr>
      </w:pPr>
      <w:r w:rsidRPr="005B4405">
        <w:rPr>
          <w:lang w:val="en-US"/>
        </w:rPr>
        <w:t>We welcome the explicit reference to human rights defenders</w:t>
      </w:r>
      <w:r w:rsidR="00184246" w:rsidRPr="005B4405">
        <w:rPr>
          <w:lang w:val="en-US"/>
        </w:rPr>
        <w:t xml:space="preserve"> (HRDs)</w:t>
      </w:r>
      <w:r w:rsidRPr="005B4405">
        <w:rPr>
          <w:lang w:val="en-US"/>
        </w:rPr>
        <w:t xml:space="preserve"> and women human rights defenders</w:t>
      </w:r>
      <w:r w:rsidR="00184246" w:rsidRPr="005B4405">
        <w:rPr>
          <w:lang w:val="en-US"/>
        </w:rPr>
        <w:t xml:space="preserve"> (WHRDs)</w:t>
      </w:r>
      <w:r w:rsidRPr="005B4405">
        <w:rPr>
          <w:lang w:val="en-US"/>
        </w:rPr>
        <w:t xml:space="preserve"> in para. 9</w:t>
      </w:r>
      <w:r w:rsidR="006357A1" w:rsidRPr="005B4405">
        <w:rPr>
          <w:lang w:val="en-US"/>
        </w:rPr>
        <w:t xml:space="preserve"> (in addition to</w:t>
      </w:r>
      <w:r w:rsidR="00184246" w:rsidRPr="005B4405">
        <w:rPr>
          <w:lang w:val="en-US"/>
        </w:rPr>
        <w:t xml:space="preserve"> para</w:t>
      </w:r>
      <w:r w:rsidR="00D62AAE" w:rsidRPr="005B4405">
        <w:rPr>
          <w:lang w:val="en-US"/>
        </w:rPr>
        <w:t>s</w:t>
      </w:r>
      <w:r w:rsidR="00184246" w:rsidRPr="005B4405">
        <w:rPr>
          <w:lang w:val="en-US"/>
        </w:rPr>
        <w:t>. 32</w:t>
      </w:r>
      <w:r w:rsidR="00D62AAE" w:rsidRPr="005B4405">
        <w:rPr>
          <w:lang w:val="en-US"/>
        </w:rPr>
        <w:t xml:space="preserve"> and 44</w:t>
      </w:r>
      <w:r w:rsidR="006357A1" w:rsidRPr="005B4405">
        <w:rPr>
          <w:lang w:val="en-US"/>
        </w:rPr>
        <w:t xml:space="preserve">, see </w:t>
      </w:r>
      <w:r w:rsidR="00A7069F" w:rsidRPr="005B4405">
        <w:rPr>
          <w:lang w:val="en-US"/>
        </w:rPr>
        <w:t>§</w:t>
      </w:r>
      <w:r w:rsidR="006357A1" w:rsidRPr="005B4405">
        <w:rPr>
          <w:lang w:val="en-US"/>
        </w:rPr>
        <w:fldChar w:fldCharType="begin"/>
      </w:r>
      <w:r w:rsidR="006357A1" w:rsidRPr="005B4405">
        <w:rPr>
          <w:lang w:val="en-US"/>
        </w:rPr>
        <w:instrText xml:space="preserve"> REF _Ref232439735 \r \h </w:instrText>
      </w:r>
      <w:r w:rsidR="006357A1" w:rsidRPr="005B4405">
        <w:rPr>
          <w:lang w:val="en-US"/>
        </w:rPr>
      </w:r>
      <w:r w:rsidR="006357A1" w:rsidRPr="005B4405">
        <w:rPr>
          <w:lang w:val="en-US"/>
        </w:rPr>
        <w:fldChar w:fldCharType="separate"/>
      </w:r>
      <w:r w:rsidR="00665209">
        <w:rPr>
          <w:rFonts w:hint="cs"/>
          <w:cs/>
          <w:lang w:val="en-US"/>
        </w:rPr>
        <w:t>‎</w:t>
      </w:r>
      <w:proofErr w:type="spellStart"/>
      <w:r w:rsidR="00665209">
        <w:rPr>
          <w:lang w:val="en-US"/>
        </w:rPr>
        <w:t>D.a</w:t>
      </w:r>
      <w:proofErr w:type="spellEnd"/>
      <w:r w:rsidR="006357A1" w:rsidRPr="005B4405">
        <w:rPr>
          <w:lang w:val="en-US"/>
        </w:rPr>
        <w:fldChar w:fldCharType="end"/>
      </w:r>
      <w:r w:rsidR="006357A1" w:rsidRPr="005B4405">
        <w:rPr>
          <w:lang w:val="en-US"/>
        </w:rPr>
        <w:t>)</w:t>
      </w:r>
      <w:r w:rsidR="00184246" w:rsidRPr="005B4405">
        <w:rPr>
          <w:lang w:val="en-US"/>
        </w:rPr>
        <w:t>.</w:t>
      </w:r>
      <w:r w:rsidRPr="005B4405">
        <w:rPr>
          <w:b/>
          <w:bCs/>
          <w:lang w:val="en-US"/>
        </w:rPr>
        <w:t xml:space="preserve"> </w:t>
      </w:r>
    </w:p>
    <w:p w14:paraId="727A7670" w14:textId="3C5A4A6F" w:rsidR="002E722C" w:rsidRPr="005B4405" w:rsidRDefault="2F091EAF" w:rsidP="00B53BB2">
      <w:pPr>
        <w:tabs>
          <w:tab w:val="left" w:pos="5364"/>
        </w:tabs>
        <w:spacing w:after="240"/>
        <w:jc w:val="both"/>
        <w:rPr>
          <w:lang w:val="en-US"/>
        </w:rPr>
      </w:pPr>
      <w:r w:rsidRPr="005B4405">
        <w:rPr>
          <w:lang w:val="en-US"/>
        </w:rPr>
        <w:t xml:space="preserve">We </w:t>
      </w:r>
      <w:r w:rsidRPr="5363F397">
        <w:rPr>
          <w:lang w:val="en-US"/>
        </w:rPr>
        <w:t xml:space="preserve">recommend </w:t>
      </w:r>
      <w:r w:rsidR="177FA69F" w:rsidRPr="005B4405">
        <w:rPr>
          <w:lang w:val="en-US"/>
        </w:rPr>
        <w:t xml:space="preserve">detailing why and how the restrictions of HRDs’ </w:t>
      </w:r>
      <w:proofErr w:type="spellStart"/>
      <w:r w:rsidR="64CCC32D" w:rsidRPr="005B4405">
        <w:rPr>
          <w:lang w:val="en-US"/>
        </w:rPr>
        <w:t>FoA</w:t>
      </w:r>
      <w:proofErr w:type="spellEnd"/>
      <w:r w:rsidR="177FA69F" w:rsidRPr="005B4405">
        <w:rPr>
          <w:lang w:val="en-US"/>
        </w:rPr>
        <w:t xml:space="preserve"> causes a differentiated and heightened impact, by </w:t>
      </w:r>
      <w:r w:rsidR="72CF0D24" w:rsidRPr="005B4405">
        <w:rPr>
          <w:lang w:val="en-US"/>
        </w:rPr>
        <w:t>citing the Declaration on Human Rights Defenders</w:t>
      </w:r>
      <w:r w:rsidR="177FA69F" w:rsidRPr="005B4405">
        <w:rPr>
          <w:lang w:val="en-US"/>
        </w:rPr>
        <w:t>.</w:t>
      </w:r>
      <w:r w:rsidR="00D62AAE" w:rsidRPr="005B4405">
        <w:rPr>
          <w:rStyle w:val="FootnoteReference"/>
          <w:lang w:val="en-US"/>
        </w:rPr>
        <w:footnoteReference w:id="5"/>
      </w:r>
      <w:r w:rsidR="177FA69F" w:rsidRPr="005B4405">
        <w:rPr>
          <w:lang w:val="en-US"/>
        </w:rPr>
        <w:t xml:space="preserve"> </w:t>
      </w:r>
      <w:r w:rsidR="6413DE13" w:rsidRPr="005B4405">
        <w:rPr>
          <w:lang w:val="en-US"/>
        </w:rPr>
        <w:t>As noted by the UN Special Rapporteur on HRDs, “The promotion and protection of human rights is a legitimate purpose for an association to pursue</w:t>
      </w:r>
      <w:r w:rsidR="6767BBE5" w:rsidRPr="005B4405">
        <w:rPr>
          <w:lang w:val="en-US"/>
        </w:rPr>
        <w:t>.</w:t>
      </w:r>
      <w:r w:rsidR="6413DE13" w:rsidRPr="005B4405">
        <w:rPr>
          <w:lang w:val="en-US"/>
        </w:rPr>
        <w:t>”</w:t>
      </w:r>
      <w:r w:rsidR="007E0A29" w:rsidRPr="005B4405">
        <w:rPr>
          <w:rStyle w:val="FootnoteReference"/>
          <w:lang w:val="en-US"/>
        </w:rPr>
        <w:footnoteReference w:id="6"/>
      </w:r>
      <w:r w:rsidR="399C1AB8" w:rsidRPr="005B4405">
        <w:rPr>
          <w:lang w:val="en-US"/>
        </w:rPr>
        <w:t xml:space="preserve"> By documenting violations, supporting victims, raising awareness, and defending human rights at the local, national, regional and </w:t>
      </w:r>
      <w:proofErr w:type="gramStart"/>
      <w:r w:rsidR="399C1AB8" w:rsidRPr="005B4405">
        <w:rPr>
          <w:lang w:val="en-US"/>
        </w:rPr>
        <w:lastRenderedPageBreak/>
        <w:t>international levels, HRDs</w:t>
      </w:r>
      <w:proofErr w:type="gramEnd"/>
      <w:r w:rsidR="399C1AB8" w:rsidRPr="005B4405">
        <w:rPr>
          <w:lang w:val="en-US"/>
        </w:rPr>
        <w:t xml:space="preserve"> seek to hold perpetrators accountable and end impunity, support better government policies on human rights, and play a key role in the overall functioning of the human rights regime globally.</w:t>
      </w:r>
      <w:r w:rsidR="00533647" w:rsidRPr="005B4405">
        <w:rPr>
          <w:rStyle w:val="FootnoteReference"/>
          <w:lang w:val="en-US"/>
        </w:rPr>
        <w:footnoteReference w:id="7"/>
      </w:r>
      <w:r w:rsidR="399C1AB8" w:rsidRPr="005B4405">
        <w:rPr>
          <w:lang w:val="en-US"/>
        </w:rPr>
        <w:t xml:space="preserve"> </w:t>
      </w:r>
      <w:r w:rsidR="56077CD6" w:rsidRPr="005B4405">
        <w:rPr>
          <w:lang w:val="en-US"/>
        </w:rPr>
        <w:t xml:space="preserve">As such, HRDs are critical to a functioning, pluralistic and robust democracy as they also defend the </w:t>
      </w:r>
      <w:proofErr w:type="spellStart"/>
      <w:r w:rsidR="64CCC32D" w:rsidRPr="005B4405">
        <w:rPr>
          <w:lang w:val="en-US"/>
        </w:rPr>
        <w:t>FoA</w:t>
      </w:r>
      <w:proofErr w:type="spellEnd"/>
      <w:r w:rsidR="56077CD6" w:rsidRPr="005B4405">
        <w:rPr>
          <w:lang w:val="en-US"/>
        </w:rPr>
        <w:t xml:space="preserve"> of everyone, among other rights. </w:t>
      </w:r>
    </w:p>
    <w:p w14:paraId="000501F5" w14:textId="3A8CA4E8" w:rsidR="00894F28" w:rsidRPr="005B4405" w:rsidRDefault="26B50E58" w:rsidP="009A711E">
      <w:pPr>
        <w:tabs>
          <w:tab w:val="left" w:pos="5364"/>
        </w:tabs>
        <w:spacing w:after="240"/>
        <w:jc w:val="both"/>
        <w:rPr>
          <w:lang w:val="en-US"/>
        </w:rPr>
      </w:pPr>
      <w:r w:rsidRPr="005B4405">
        <w:rPr>
          <w:lang w:val="en-US"/>
        </w:rPr>
        <w:t>HRDs are targeted by States and non-State actors because they pursue this legitimate purpose</w:t>
      </w:r>
      <w:r w:rsidR="0F460885" w:rsidRPr="005B4405">
        <w:rPr>
          <w:lang w:val="en-US"/>
        </w:rPr>
        <w:t xml:space="preserve">. Their targeting is </w:t>
      </w:r>
      <w:r w:rsidR="0F460885" w:rsidRPr="5363F397">
        <w:rPr>
          <w:lang w:val="en-US"/>
        </w:rPr>
        <w:t>directly related to the broader backlash against international human rights</w:t>
      </w:r>
      <w:r w:rsidR="0C398FA2" w:rsidRPr="005B4405">
        <w:rPr>
          <w:lang w:val="en-US"/>
        </w:rPr>
        <w:t xml:space="preserve">, </w:t>
      </w:r>
      <w:r w:rsidR="6C285F16" w:rsidRPr="5363F397">
        <w:rPr>
          <w:lang w:val="en-US"/>
        </w:rPr>
        <w:t>democracy,</w:t>
      </w:r>
      <w:r w:rsidR="0C398FA2" w:rsidRPr="5363F397">
        <w:rPr>
          <w:lang w:val="en-US"/>
        </w:rPr>
        <w:t xml:space="preserve"> and multilateralism globally</w:t>
      </w:r>
      <w:r w:rsidR="6A04DED0" w:rsidRPr="5363F397">
        <w:rPr>
          <w:lang w:val="en-US"/>
        </w:rPr>
        <w:t xml:space="preserve">. At least 324 HRDs in 32 countries were killed in 2024, </w:t>
      </w:r>
      <w:r w:rsidR="5EA74B92" w:rsidRPr="5363F397">
        <w:rPr>
          <w:lang w:val="en-US"/>
        </w:rPr>
        <w:t xml:space="preserve">and at least 358 killed in 28 countries in 2025, </w:t>
      </w:r>
      <w:r w:rsidR="6A04DED0" w:rsidRPr="5363F397">
        <w:rPr>
          <w:lang w:val="en-US"/>
        </w:rPr>
        <w:t>with many others arbitrarily detained, legally and administratively harassed, threatened</w:t>
      </w:r>
      <w:r w:rsidR="5EA74B92" w:rsidRPr="5363F397">
        <w:rPr>
          <w:lang w:val="en-US"/>
        </w:rPr>
        <w:t>, smeared,</w:t>
      </w:r>
      <w:r w:rsidR="004041A3" w:rsidRPr="5363F397">
        <w:rPr>
          <w:rStyle w:val="FootnoteReference"/>
          <w:lang w:val="en-US"/>
        </w:rPr>
        <w:footnoteReference w:id="8"/>
      </w:r>
      <w:r w:rsidR="24F99C4B" w:rsidRPr="5363F397">
        <w:rPr>
          <w:lang w:val="en-US"/>
        </w:rPr>
        <w:t>.</w:t>
      </w:r>
      <w:r w:rsidR="03C3DC01" w:rsidRPr="5363F397">
        <w:rPr>
          <w:lang w:val="en-US"/>
        </w:rPr>
        <w:t>￼</w:t>
      </w:r>
      <w:r w:rsidR="6A04DED0" w:rsidRPr="5363F397">
        <w:rPr>
          <w:lang w:val="en-US"/>
        </w:rPr>
        <w:t xml:space="preserve"> </w:t>
      </w:r>
      <w:r w:rsidR="24F99C4B" w:rsidRPr="5363F397">
        <w:rPr>
          <w:lang w:val="en-US"/>
        </w:rPr>
        <w:t>D</w:t>
      </w:r>
      <w:r w:rsidR="6A04DED0" w:rsidRPr="5363F397">
        <w:rPr>
          <w:lang w:val="en-US"/>
        </w:rPr>
        <w:t>efenders of women’s rights, LGBT</w:t>
      </w:r>
      <w:r w:rsidR="5C53ADBC" w:rsidRPr="5363F397">
        <w:rPr>
          <w:lang w:val="en-US"/>
        </w:rPr>
        <w:t>Q</w:t>
      </w:r>
      <w:r w:rsidR="6A04DED0" w:rsidRPr="5363F397">
        <w:rPr>
          <w:lang w:val="en-US"/>
        </w:rPr>
        <w:t xml:space="preserve">I+ rights, human rights in conflict, </w:t>
      </w:r>
      <w:r w:rsidR="14ADBAEF" w:rsidRPr="5363F397">
        <w:rPr>
          <w:lang w:val="en-US"/>
        </w:rPr>
        <w:t xml:space="preserve">indigenous </w:t>
      </w:r>
      <w:r w:rsidR="6A04DED0" w:rsidRPr="5363F397">
        <w:rPr>
          <w:lang w:val="en-US"/>
        </w:rPr>
        <w:t xml:space="preserve">and environmental rights </w:t>
      </w:r>
      <w:r w:rsidR="14ADBAEF" w:rsidRPr="5363F397">
        <w:rPr>
          <w:lang w:val="en-US"/>
        </w:rPr>
        <w:t>are frequently</w:t>
      </w:r>
      <w:r w:rsidR="6A04DED0" w:rsidRPr="5363F397">
        <w:rPr>
          <w:lang w:val="en-US"/>
        </w:rPr>
        <w:t xml:space="preserve"> among the most targeted</w:t>
      </w:r>
      <w:r w:rsidR="14ADBAEF" w:rsidRPr="5363F397">
        <w:rPr>
          <w:lang w:val="en-US"/>
        </w:rPr>
        <w:t>, which is interrelated with the erosion of these rights globally.</w:t>
      </w:r>
      <w:r w:rsidR="4BDA74BD" w:rsidRPr="5363F397">
        <w:rPr>
          <w:lang w:val="en-US"/>
        </w:rPr>
        <w:t xml:space="preserve"> </w:t>
      </w:r>
      <w:r w:rsidR="66A5482F" w:rsidRPr="5363F397">
        <w:rPr>
          <w:lang w:val="en-US"/>
        </w:rPr>
        <w:t xml:space="preserve">The General Comment should accordingly highlight the </w:t>
      </w:r>
      <w:r w:rsidR="024C1945" w:rsidRPr="5363F397">
        <w:rPr>
          <w:lang w:val="en-US"/>
        </w:rPr>
        <w:t>protection</w:t>
      </w:r>
      <w:r w:rsidR="66A5482F" w:rsidRPr="33D87F2B">
        <w:rPr>
          <w:lang w:val="en-US"/>
        </w:rPr>
        <w:t xml:space="preserve"> of HRDs</w:t>
      </w:r>
      <w:r w:rsidR="024C1945" w:rsidRPr="33D87F2B">
        <w:rPr>
          <w:lang w:val="en-US"/>
        </w:rPr>
        <w:t xml:space="preserve"> with reference to soft-law and interpretations developed by Mandates of the UN Special Rapporteurs on </w:t>
      </w:r>
      <w:proofErr w:type="spellStart"/>
      <w:r w:rsidR="024C1945" w:rsidRPr="33D87F2B">
        <w:rPr>
          <w:lang w:val="en-US"/>
        </w:rPr>
        <w:t>FoA</w:t>
      </w:r>
      <w:proofErr w:type="spellEnd"/>
      <w:r w:rsidR="024C1945" w:rsidRPr="33D87F2B">
        <w:rPr>
          <w:lang w:val="en-US"/>
        </w:rPr>
        <w:t xml:space="preserve"> and HRDs, among others.</w:t>
      </w:r>
    </w:p>
    <w:p w14:paraId="012FCF27" w14:textId="2CCF060D" w:rsidR="00DD60C9" w:rsidRPr="00190A87" w:rsidRDefault="00227F9E" w:rsidP="00FD23D2">
      <w:pPr>
        <w:pStyle w:val="ListParagraph"/>
        <w:numPr>
          <w:ilvl w:val="1"/>
          <w:numId w:val="7"/>
        </w:numPr>
        <w:tabs>
          <w:tab w:val="left" w:pos="5364"/>
        </w:tabs>
        <w:spacing w:after="240"/>
        <w:jc w:val="both"/>
        <w:rPr>
          <w:lang w:val="en-US"/>
        </w:rPr>
      </w:pPr>
      <w:r w:rsidRPr="005B4405">
        <w:rPr>
          <w:b/>
          <w:bCs/>
          <w:lang w:val="en-US"/>
        </w:rPr>
        <w:t xml:space="preserve">Section II: Scope of </w:t>
      </w:r>
      <w:proofErr w:type="spellStart"/>
      <w:r w:rsidRPr="005B4405">
        <w:rPr>
          <w:b/>
          <w:bCs/>
          <w:lang w:val="en-US"/>
        </w:rPr>
        <w:t>FoA</w:t>
      </w:r>
      <w:proofErr w:type="spellEnd"/>
    </w:p>
    <w:p w14:paraId="669BD8FC" w14:textId="77777777" w:rsidR="00190A87" w:rsidRPr="005B4405" w:rsidRDefault="00190A87" w:rsidP="00190A87">
      <w:pPr>
        <w:pStyle w:val="ListParagraph"/>
        <w:tabs>
          <w:tab w:val="left" w:pos="5364"/>
        </w:tabs>
        <w:spacing w:after="240"/>
        <w:ind w:left="1440"/>
        <w:jc w:val="both"/>
        <w:rPr>
          <w:lang w:val="en-US"/>
        </w:rPr>
      </w:pPr>
    </w:p>
    <w:p w14:paraId="401ABB74" w14:textId="3C59852B" w:rsidR="00190A87" w:rsidRPr="00190A87" w:rsidRDefault="00190A87" w:rsidP="00190A87">
      <w:pPr>
        <w:pStyle w:val="ListParagraph"/>
        <w:numPr>
          <w:ilvl w:val="2"/>
          <w:numId w:val="7"/>
        </w:numPr>
        <w:tabs>
          <w:tab w:val="left" w:pos="5364"/>
        </w:tabs>
        <w:spacing w:after="240"/>
        <w:jc w:val="both"/>
        <w:rPr>
          <w:b/>
          <w:bCs/>
          <w:lang w:val="en-US"/>
        </w:rPr>
      </w:pPr>
      <w:r w:rsidRPr="005B4405">
        <w:rPr>
          <w:b/>
          <w:bCs/>
          <w:lang w:val="en-US"/>
        </w:rPr>
        <w:t xml:space="preserve">Paragraph </w:t>
      </w:r>
      <w:r w:rsidR="004026EB">
        <w:rPr>
          <w:b/>
          <w:bCs/>
          <w:lang w:val="en-US"/>
        </w:rPr>
        <w:t>13</w:t>
      </w:r>
      <w:r w:rsidRPr="005B4405">
        <w:rPr>
          <w:b/>
          <w:bCs/>
          <w:lang w:val="en-US"/>
        </w:rPr>
        <w:t xml:space="preserve">: </w:t>
      </w:r>
      <w:r w:rsidR="004026EB">
        <w:rPr>
          <w:b/>
          <w:bCs/>
          <w:lang w:val="en-US"/>
        </w:rPr>
        <w:t>Registering Associations</w:t>
      </w:r>
    </w:p>
    <w:p w14:paraId="57976EE4" w14:textId="414D5774" w:rsidR="00227F9E" w:rsidRPr="005B4405" w:rsidRDefault="542678E0" w:rsidP="5363F397">
      <w:pPr>
        <w:tabs>
          <w:tab w:val="left" w:pos="5364"/>
        </w:tabs>
        <w:spacing w:after="240" w:line="259" w:lineRule="auto"/>
        <w:jc w:val="both"/>
        <w:rPr>
          <w:lang w:val="en-US"/>
        </w:rPr>
      </w:pPr>
      <w:r w:rsidRPr="33D87F2B">
        <w:rPr>
          <w:lang w:val="en-US"/>
        </w:rPr>
        <w:t xml:space="preserve">We recommend </w:t>
      </w:r>
      <w:r w:rsidR="0001757B" w:rsidRPr="33D87F2B">
        <w:rPr>
          <w:lang w:val="en-US"/>
        </w:rPr>
        <w:t xml:space="preserve">adding </w:t>
      </w:r>
      <w:r w:rsidRPr="33D87F2B">
        <w:rPr>
          <w:lang w:val="en-US"/>
        </w:rPr>
        <w:t xml:space="preserve">a sentence </w:t>
      </w:r>
      <w:r w:rsidR="5C0C577D" w:rsidRPr="33D87F2B">
        <w:rPr>
          <w:lang w:val="en-US"/>
        </w:rPr>
        <w:t xml:space="preserve">regarding the minimum number of </w:t>
      </w:r>
      <w:proofErr w:type="gramStart"/>
      <w:r w:rsidR="5C0C577D" w:rsidRPr="33D87F2B">
        <w:rPr>
          <w:lang w:val="en-US"/>
        </w:rPr>
        <w:t>persons</w:t>
      </w:r>
      <w:proofErr w:type="gramEnd"/>
      <w:r w:rsidR="53109D0A" w:rsidRPr="33D87F2B">
        <w:rPr>
          <w:lang w:val="en-US"/>
        </w:rPr>
        <w:t xml:space="preserve"> required</w:t>
      </w:r>
      <w:r w:rsidR="5C0C577D" w:rsidRPr="33D87F2B">
        <w:rPr>
          <w:lang w:val="en-US"/>
        </w:rPr>
        <w:t xml:space="preserve"> to </w:t>
      </w:r>
      <w:r w:rsidR="53109D0A" w:rsidRPr="33D87F2B">
        <w:rPr>
          <w:lang w:val="en-US"/>
        </w:rPr>
        <w:t xml:space="preserve">formally </w:t>
      </w:r>
      <w:r w:rsidR="032319A6" w:rsidRPr="33D87F2B">
        <w:rPr>
          <w:lang w:val="en-US"/>
        </w:rPr>
        <w:t>register</w:t>
      </w:r>
      <w:r w:rsidR="5C0C577D" w:rsidRPr="33D87F2B">
        <w:rPr>
          <w:lang w:val="en-US"/>
        </w:rPr>
        <w:t xml:space="preserve"> an association</w:t>
      </w:r>
      <w:r w:rsidR="53109D0A" w:rsidRPr="33D87F2B">
        <w:rPr>
          <w:lang w:val="en-US"/>
        </w:rPr>
        <w:t>.</w:t>
      </w:r>
      <w:r w:rsidR="5C0C577D" w:rsidRPr="33D87F2B">
        <w:rPr>
          <w:lang w:val="en-US"/>
        </w:rPr>
        <w:t xml:space="preserve"> The UN Special Rapporteur has considered it best practice</w:t>
      </w:r>
      <w:r w:rsidRPr="33D87F2B">
        <w:rPr>
          <w:lang w:val="en-US"/>
        </w:rPr>
        <w:t xml:space="preserve"> that national legislation should require no more than two </w:t>
      </w:r>
      <w:proofErr w:type="gramStart"/>
      <w:r w:rsidRPr="33D87F2B">
        <w:rPr>
          <w:lang w:val="en-US"/>
        </w:rPr>
        <w:t>persons</w:t>
      </w:r>
      <w:proofErr w:type="gramEnd"/>
      <w:r w:rsidRPr="33D87F2B">
        <w:rPr>
          <w:lang w:val="en-US"/>
        </w:rPr>
        <w:t xml:space="preserve"> to establish an association</w:t>
      </w:r>
      <w:r w:rsidR="53109D0A" w:rsidRPr="33D87F2B">
        <w:rPr>
          <w:lang w:val="en-US"/>
        </w:rPr>
        <w:t xml:space="preserve"> within the scope of the right to form and join an association</w:t>
      </w:r>
      <w:r w:rsidRPr="33D87F2B">
        <w:rPr>
          <w:lang w:val="en-US"/>
        </w:rPr>
        <w:t>.</w:t>
      </w:r>
      <w:r w:rsidR="2D081DA9" w:rsidRPr="33D87F2B">
        <w:rPr>
          <w:rStyle w:val="FootnoteReference"/>
          <w:lang w:val="en-US"/>
        </w:rPr>
        <w:footnoteReference w:id="9"/>
      </w:r>
      <w:r w:rsidRPr="33D87F2B">
        <w:rPr>
          <w:lang w:val="en-US"/>
        </w:rPr>
        <w:t xml:space="preserve"> </w:t>
      </w:r>
    </w:p>
    <w:p w14:paraId="218071B8" w14:textId="7E132B23" w:rsidR="00227F9E" w:rsidRPr="005B4405" w:rsidRDefault="2D081DA9" w:rsidP="00227F9E">
      <w:pPr>
        <w:tabs>
          <w:tab w:val="left" w:pos="5364"/>
        </w:tabs>
        <w:spacing w:after="240"/>
        <w:jc w:val="both"/>
        <w:rPr>
          <w:lang w:val="en-US"/>
        </w:rPr>
      </w:pPr>
      <w:r w:rsidRPr="005B4405">
        <w:rPr>
          <w:lang w:val="en-US"/>
        </w:rPr>
        <w:t xml:space="preserve">In </w:t>
      </w:r>
      <w:r w:rsidR="6779F457" w:rsidRPr="5363F397">
        <w:rPr>
          <w:lang w:val="en-US"/>
        </w:rPr>
        <w:t>Türkiye</w:t>
      </w:r>
      <w:r w:rsidRPr="5363F397">
        <w:rPr>
          <w:lang w:val="en-US"/>
        </w:rPr>
        <w:t>, setting up an association requires seven persons, with a minimum of 16 persons necessary</w:t>
      </w:r>
      <w:r w:rsidR="302AB239" w:rsidRPr="5363F397">
        <w:rPr>
          <w:lang w:val="en-US"/>
        </w:rPr>
        <w:t xml:space="preserve"> within six months of establishment</w:t>
      </w:r>
      <w:r w:rsidRPr="5363F397">
        <w:rPr>
          <w:lang w:val="en-US"/>
        </w:rPr>
        <w:t xml:space="preserve"> for the</w:t>
      </w:r>
      <w:r w:rsidR="302AB239" w:rsidRPr="5363F397">
        <w:rPr>
          <w:lang w:val="en-US"/>
        </w:rPr>
        <w:t xml:space="preserve"> continued</w:t>
      </w:r>
      <w:r w:rsidRPr="5363F397">
        <w:rPr>
          <w:lang w:val="en-US"/>
        </w:rPr>
        <w:t xml:space="preserve"> functioning of the association. </w:t>
      </w:r>
      <w:r w:rsidR="302AB239" w:rsidRPr="5363F397">
        <w:rPr>
          <w:lang w:val="en-US"/>
        </w:rPr>
        <w:t>Meanwhile, j</w:t>
      </w:r>
      <w:r w:rsidRPr="5363F397">
        <w:rPr>
          <w:lang w:val="en-US"/>
        </w:rPr>
        <w:t>udicial</w:t>
      </w:r>
      <w:r w:rsidR="6767BBE5" w:rsidRPr="5363F397">
        <w:rPr>
          <w:lang w:val="en-US"/>
        </w:rPr>
        <w:t xml:space="preserve"> and administrative</w:t>
      </w:r>
      <w:r w:rsidRPr="5363F397">
        <w:rPr>
          <w:lang w:val="en-US"/>
        </w:rPr>
        <w:t xml:space="preserve"> harassment targeting board members creates a chilling effect, </w:t>
      </w:r>
      <w:r w:rsidR="302AB239" w:rsidRPr="5363F397">
        <w:rPr>
          <w:lang w:val="en-US"/>
        </w:rPr>
        <w:t xml:space="preserve">and </w:t>
      </w:r>
      <w:r w:rsidRPr="5363F397">
        <w:rPr>
          <w:lang w:val="en-US"/>
        </w:rPr>
        <w:t xml:space="preserve">restrictions on who can serve as a board member make it further difficult to locate </w:t>
      </w:r>
      <w:proofErr w:type="gramStart"/>
      <w:r w:rsidRPr="5363F397">
        <w:rPr>
          <w:lang w:val="en-US"/>
        </w:rPr>
        <w:t>persons</w:t>
      </w:r>
      <w:proofErr w:type="gramEnd"/>
      <w:r w:rsidRPr="5363F397">
        <w:rPr>
          <w:lang w:val="en-US"/>
        </w:rPr>
        <w:t xml:space="preserve"> willing and able to serve on association boards</w:t>
      </w:r>
      <w:r w:rsidR="302AB239" w:rsidRPr="5363F397">
        <w:rPr>
          <w:lang w:val="en-US"/>
        </w:rPr>
        <w:t xml:space="preserve"> to ensure the continuity of the association’s operations</w:t>
      </w:r>
      <w:r w:rsidRPr="5363F397">
        <w:rPr>
          <w:lang w:val="en-US"/>
        </w:rPr>
        <w:t xml:space="preserve">. This </w:t>
      </w:r>
      <w:r w:rsidR="302AB239" w:rsidRPr="5363F397">
        <w:rPr>
          <w:lang w:val="en-US"/>
        </w:rPr>
        <w:t>also</w:t>
      </w:r>
      <w:r w:rsidRPr="5363F397">
        <w:rPr>
          <w:lang w:val="en-US"/>
        </w:rPr>
        <w:t xml:space="preserve"> relates to the State’s positive obligation to establish and maintain an enabling environment (see ‎§</w:t>
      </w:r>
      <w:r w:rsidR="0009359C">
        <w:rPr>
          <w:lang w:val="en-US"/>
        </w:rPr>
        <w:fldChar w:fldCharType="begin"/>
      </w:r>
      <w:r w:rsidR="0009359C">
        <w:rPr>
          <w:lang w:val="en-US"/>
        </w:rPr>
        <w:instrText xml:space="preserve"> REF _Ref232773871 \r \h </w:instrText>
      </w:r>
      <w:r w:rsidR="0009359C">
        <w:rPr>
          <w:lang w:val="en-US"/>
        </w:rPr>
      </w:r>
      <w:r w:rsidR="0009359C">
        <w:rPr>
          <w:lang w:val="en-US"/>
        </w:rPr>
        <w:fldChar w:fldCharType="separate"/>
      </w:r>
      <w:r w:rsidR="28ABE471" w:rsidRPr="5363F397">
        <w:rPr>
          <w:lang w:val="en-US"/>
        </w:rPr>
        <w:t>‎</w:t>
      </w:r>
      <w:proofErr w:type="spellStart"/>
      <w:r w:rsidR="28ABE471" w:rsidRPr="5363F397">
        <w:rPr>
          <w:lang w:val="en-US"/>
        </w:rPr>
        <w:t>C.b</w:t>
      </w:r>
      <w:proofErr w:type="spellEnd"/>
      <w:r w:rsidR="0009359C">
        <w:rPr>
          <w:lang w:val="en-US"/>
        </w:rPr>
        <w:fldChar w:fldCharType="end"/>
      </w:r>
      <w:r w:rsidRPr="5363F397">
        <w:rPr>
          <w:lang w:val="en-US"/>
        </w:rPr>
        <w:t>).</w:t>
      </w:r>
    </w:p>
    <w:p w14:paraId="3144519A" w14:textId="03FF4795" w:rsidR="00D75ADD" w:rsidRPr="005B4405" w:rsidRDefault="00D75ADD" w:rsidP="00FD23D2">
      <w:pPr>
        <w:pStyle w:val="ListParagraph"/>
        <w:numPr>
          <w:ilvl w:val="1"/>
          <w:numId w:val="7"/>
        </w:numPr>
        <w:tabs>
          <w:tab w:val="left" w:pos="5364"/>
        </w:tabs>
        <w:spacing w:after="240"/>
        <w:jc w:val="both"/>
        <w:rPr>
          <w:b/>
          <w:bCs/>
          <w:lang w:val="en-US"/>
        </w:rPr>
      </w:pPr>
      <w:r w:rsidRPr="005B4405">
        <w:rPr>
          <w:b/>
          <w:bCs/>
          <w:lang w:val="en-US"/>
        </w:rPr>
        <w:t>Section IV: Positive Obligations</w:t>
      </w:r>
    </w:p>
    <w:p w14:paraId="61C22EDF" w14:textId="77777777" w:rsidR="00D75ADD" w:rsidRPr="005B4405" w:rsidRDefault="00D75ADD" w:rsidP="00D75ADD">
      <w:pPr>
        <w:pStyle w:val="ListParagraph"/>
        <w:tabs>
          <w:tab w:val="left" w:pos="5364"/>
        </w:tabs>
        <w:spacing w:after="240"/>
        <w:ind w:left="1440"/>
        <w:jc w:val="both"/>
        <w:rPr>
          <w:b/>
          <w:bCs/>
          <w:lang w:val="en-US"/>
        </w:rPr>
      </w:pPr>
    </w:p>
    <w:p w14:paraId="72A83A79" w14:textId="72C123F8" w:rsidR="004026EB" w:rsidRDefault="004026EB" w:rsidP="00FD23D2">
      <w:pPr>
        <w:pStyle w:val="ListParagraph"/>
        <w:numPr>
          <w:ilvl w:val="2"/>
          <w:numId w:val="7"/>
        </w:numPr>
        <w:tabs>
          <w:tab w:val="left" w:pos="5364"/>
        </w:tabs>
        <w:spacing w:after="240"/>
        <w:jc w:val="both"/>
        <w:rPr>
          <w:b/>
          <w:bCs/>
          <w:lang w:val="en-US"/>
        </w:rPr>
      </w:pPr>
      <w:bookmarkStart w:id="0" w:name="_Ref232593296"/>
      <w:r>
        <w:rPr>
          <w:b/>
          <w:bCs/>
          <w:lang w:val="en-US"/>
        </w:rPr>
        <w:t>Paragraph 30: Smear Campaigns</w:t>
      </w:r>
    </w:p>
    <w:p w14:paraId="386E3BCC" w14:textId="41157E2C" w:rsidR="004026EB" w:rsidRPr="004026EB" w:rsidRDefault="032319A6" w:rsidP="004026EB">
      <w:pPr>
        <w:tabs>
          <w:tab w:val="left" w:pos="5364"/>
        </w:tabs>
        <w:spacing w:after="240"/>
        <w:jc w:val="both"/>
        <w:rPr>
          <w:lang w:val="en-US"/>
        </w:rPr>
      </w:pPr>
      <w:r>
        <w:rPr>
          <w:lang w:val="en-US"/>
        </w:rPr>
        <w:lastRenderedPageBreak/>
        <w:t xml:space="preserve">We recommend that para. 30 also </w:t>
      </w:r>
      <w:r w:rsidRPr="5363F397">
        <w:rPr>
          <w:lang w:val="en-US"/>
        </w:rPr>
        <w:t>mention</w:t>
      </w:r>
      <w:r w:rsidRPr="33D87F2B">
        <w:rPr>
          <w:lang w:val="en-US"/>
        </w:rPr>
        <w:t xml:space="preserve"> </w:t>
      </w:r>
      <w:r w:rsidR="216F0DFD">
        <w:rPr>
          <w:lang w:val="en-US"/>
        </w:rPr>
        <w:t>stigmatization of</w:t>
      </w:r>
      <w:r w:rsidR="0F2BF8BF">
        <w:rPr>
          <w:lang w:val="en-US"/>
        </w:rPr>
        <w:t xml:space="preserve"> associations</w:t>
      </w:r>
      <w:r>
        <w:rPr>
          <w:lang w:val="en-US"/>
        </w:rPr>
        <w:t xml:space="preserve"> </w:t>
      </w:r>
      <w:r w:rsidR="0F2BF8BF">
        <w:rPr>
          <w:lang w:val="en-US"/>
        </w:rPr>
        <w:t>as an example of a restriction of the right.</w:t>
      </w:r>
      <w:r w:rsidR="00690D6D">
        <w:rPr>
          <w:rStyle w:val="FootnoteReference"/>
          <w:lang w:val="en-US"/>
        </w:rPr>
        <w:footnoteReference w:id="10"/>
      </w:r>
      <w:r w:rsidR="0F2BF8BF">
        <w:rPr>
          <w:lang w:val="en-US"/>
        </w:rPr>
        <w:t xml:space="preserve"> In</w:t>
      </w:r>
      <w:r w:rsidR="0F2BF8BF" w:rsidRPr="5363F397">
        <w:rPr>
          <w:lang w:val="en-US"/>
        </w:rPr>
        <w:t xml:space="preserve"> </w:t>
      </w:r>
      <w:r w:rsidR="4CB1D8B4" w:rsidRPr="5363F397">
        <w:rPr>
          <w:lang w:val="en-US"/>
        </w:rPr>
        <w:t>Türkiye</w:t>
      </w:r>
      <w:r w:rsidR="53109D0A">
        <w:rPr>
          <w:lang w:val="en-US"/>
        </w:rPr>
        <w:t xml:space="preserve"> and elsewhere</w:t>
      </w:r>
      <w:r w:rsidR="0F2BF8BF" w:rsidRPr="5363F397">
        <w:rPr>
          <w:lang w:val="en-US"/>
        </w:rPr>
        <w:t xml:space="preserve">, HRDs, activists and dissidents are targeted in smear campaigns labeling them as terrorists, foreign </w:t>
      </w:r>
      <w:r w:rsidR="0F2BF8BF" w:rsidRPr="33D87F2B">
        <w:rPr>
          <w:lang w:val="en-US"/>
        </w:rPr>
        <w:t>agents</w:t>
      </w:r>
      <w:r w:rsidR="004026EB" w:rsidRPr="5363F397">
        <w:rPr>
          <w:rStyle w:val="FootnoteReference"/>
          <w:lang w:val="en-US"/>
        </w:rPr>
        <w:footnoteReference w:id="11"/>
      </w:r>
      <w:proofErr w:type="spellStart"/>
      <w:r w:rsidR="609E0950" w:rsidRPr="33D87F2B">
        <w:rPr>
          <w:lang w:val="en-US"/>
        </w:rPr>
        <w:t>FoA</w:t>
      </w:r>
      <w:proofErr w:type="spellEnd"/>
      <w:r w:rsidR="609E0950" w:rsidRPr="33D87F2B">
        <w:rPr>
          <w:lang w:val="en-US"/>
        </w:rPr>
        <w:t xml:space="preserve"> and other rights.</w:t>
      </w:r>
      <w:r w:rsidR="7E3026E3" w:rsidRPr="5363F397">
        <w:rPr>
          <w:lang w:val="en-US"/>
        </w:rPr>
        <w:t>￼</w:t>
      </w:r>
      <w:r w:rsidR="609E0950" w:rsidRPr="5363F397">
        <w:rPr>
          <w:lang w:val="en-US"/>
        </w:rPr>
        <w:t xml:space="preserve"> Some of these are joined and even instigated by public actors (including heads of governments) openly, </w:t>
      </w:r>
      <w:r w:rsidR="609E0950" w:rsidRPr="33D87F2B">
        <w:rPr>
          <w:lang w:val="en-US"/>
        </w:rPr>
        <w:t>whereas others are orchestrated, particularly online, by seemingly private actors connected to the government, with no effective remedies available to challenge them. Given the prevalence of these campaigns that seek to discredit and illegitimize associations</w:t>
      </w:r>
      <w:r w:rsidR="6A0B88C7" w:rsidRPr="5363F397">
        <w:rPr>
          <w:lang w:val="en-US"/>
        </w:rPr>
        <w:t xml:space="preserve"> in the eyes of the public</w:t>
      </w:r>
      <w:r w:rsidR="609E0950" w:rsidRPr="5363F397">
        <w:rPr>
          <w:lang w:val="en-US"/>
        </w:rPr>
        <w:t xml:space="preserve">, which in turn create a significant chilling effect </w:t>
      </w:r>
      <w:proofErr w:type="gramStart"/>
      <w:r w:rsidR="609E0950" w:rsidRPr="5363F397">
        <w:rPr>
          <w:lang w:val="en-US"/>
        </w:rPr>
        <w:t>over</w:t>
      </w:r>
      <w:proofErr w:type="gramEnd"/>
      <w:r w:rsidR="609E0950" w:rsidRPr="5363F397">
        <w:rPr>
          <w:lang w:val="en-US"/>
        </w:rPr>
        <w:t xml:space="preserve"> the broader society, the General Comment should address this phenomenon</w:t>
      </w:r>
      <w:r w:rsidR="67E3F7E2" w:rsidRPr="5363F397">
        <w:rPr>
          <w:lang w:val="en-US"/>
        </w:rPr>
        <w:t xml:space="preserve"> openly</w:t>
      </w:r>
      <w:r w:rsidR="004026EB" w:rsidRPr="5363F397">
        <w:rPr>
          <w:lang w:val="en-US"/>
        </w:rPr>
        <w:fldChar w:fldCharType="begin"/>
      </w:r>
      <w:r w:rsidR="004026EB" w:rsidRPr="5363F397">
        <w:rPr>
          <w:lang w:val="en-US"/>
        </w:rPr>
        <w:instrText xml:space="preserve"> REF _Ref232773912 \r \h </w:instrText>
      </w:r>
      <w:r w:rsidR="004026EB" w:rsidRPr="5363F397">
        <w:rPr>
          <w:lang w:val="en-US"/>
        </w:rPr>
      </w:r>
      <w:r w:rsidR="004026EB" w:rsidRPr="5363F397">
        <w:rPr>
          <w:lang w:val="en-US"/>
        </w:rPr>
        <w:fldChar w:fldCharType="separate"/>
      </w:r>
      <w:r w:rsidR="4F773EC1" w:rsidRPr="5363F397">
        <w:rPr>
          <w:lang w:val="en-US"/>
        </w:rPr>
        <w:t>￼</w:t>
      </w:r>
      <w:r w:rsidR="004026EB" w:rsidRPr="5363F397">
        <w:rPr>
          <w:lang w:val="en-US"/>
        </w:rPr>
        <w:fldChar w:fldCharType="end"/>
      </w:r>
      <w:r w:rsidR="3BB0DF3C" w:rsidRPr="5363F397">
        <w:rPr>
          <w:lang w:val="en-US"/>
        </w:rPr>
        <w:t>￼)</w:t>
      </w:r>
      <w:r w:rsidR="609E0950" w:rsidRPr="33D87F2B">
        <w:rPr>
          <w:lang w:val="en-US"/>
        </w:rPr>
        <w:t>.</w:t>
      </w:r>
    </w:p>
    <w:p w14:paraId="727B2D09" w14:textId="5646BC07" w:rsidR="00D75ADD" w:rsidRPr="005B4405" w:rsidRDefault="00D75ADD" w:rsidP="00FD23D2">
      <w:pPr>
        <w:pStyle w:val="ListParagraph"/>
        <w:numPr>
          <w:ilvl w:val="2"/>
          <w:numId w:val="7"/>
        </w:numPr>
        <w:tabs>
          <w:tab w:val="left" w:pos="5364"/>
        </w:tabs>
        <w:spacing w:after="240"/>
        <w:jc w:val="both"/>
        <w:rPr>
          <w:b/>
          <w:bCs/>
          <w:lang w:val="en-US"/>
        </w:rPr>
      </w:pPr>
      <w:bookmarkStart w:id="1" w:name="_Ref232773871"/>
      <w:r w:rsidRPr="005B4405">
        <w:rPr>
          <w:b/>
          <w:bCs/>
          <w:lang w:val="en-US"/>
        </w:rPr>
        <w:t>Paragraphs 33-34: Enabling Environment</w:t>
      </w:r>
      <w:bookmarkEnd w:id="0"/>
      <w:bookmarkEnd w:id="1"/>
    </w:p>
    <w:p w14:paraId="77847EEB" w14:textId="244E5E00" w:rsidR="001A4D8F" w:rsidRDefault="18A61240" w:rsidP="00633E6E">
      <w:pPr>
        <w:tabs>
          <w:tab w:val="left" w:pos="5364"/>
        </w:tabs>
        <w:spacing w:after="240"/>
        <w:jc w:val="both"/>
        <w:rPr>
          <w:lang w:val="en-US"/>
        </w:rPr>
      </w:pPr>
      <w:r w:rsidRPr="005B4405">
        <w:rPr>
          <w:lang w:val="en-US"/>
        </w:rPr>
        <w:t xml:space="preserve">We welcome para. 34’s clarification that the enabling environment must be assessed comprehensively and </w:t>
      </w:r>
      <w:r w:rsidRPr="33D87F2B">
        <w:rPr>
          <w:i/>
          <w:iCs/>
          <w:lang w:val="en-US"/>
        </w:rPr>
        <w:t xml:space="preserve">in </w:t>
      </w:r>
      <w:proofErr w:type="spellStart"/>
      <w:r w:rsidRPr="33D87F2B">
        <w:rPr>
          <w:i/>
          <w:iCs/>
          <w:lang w:val="en-US"/>
        </w:rPr>
        <w:t>globo</w:t>
      </w:r>
      <w:proofErr w:type="spellEnd"/>
      <w:r w:rsidRPr="005B4405">
        <w:rPr>
          <w:lang w:val="en-US"/>
        </w:rPr>
        <w:t>. We recommend</w:t>
      </w:r>
      <w:r w:rsidR="648C6586" w:rsidRPr="005B4405">
        <w:rPr>
          <w:lang w:val="en-US"/>
        </w:rPr>
        <w:t xml:space="preserve"> adding a s</w:t>
      </w:r>
      <w:r w:rsidRPr="005B4405">
        <w:rPr>
          <w:lang w:val="en-US"/>
        </w:rPr>
        <w:t>entence further clarifying that financial, administrative and other reporting obligations of formal associations should be simplified</w:t>
      </w:r>
      <w:r w:rsidR="00AC6ECF" w:rsidRPr="005B4405">
        <w:rPr>
          <w:rStyle w:val="FootnoteReference"/>
          <w:lang w:val="en-US"/>
        </w:rPr>
        <w:footnoteReference w:id="12"/>
      </w:r>
      <w:r w:rsidRPr="005B4405">
        <w:rPr>
          <w:lang w:val="en-US"/>
        </w:rPr>
        <w:t>, as they otherwise create an environment of excessive State monitoring over associations.</w:t>
      </w:r>
      <w:r w:rsidR="0CAFBD16" w:rsidRPr="005B4405">
        <w:rPr>
          <w:lang w:val="en-US"/>
        </w:rPr>
        <w:t>￼</w:t>
      </w:r>
      <w:r w:rsidR="65A7F8CB" w:rsidRPr="005B4405">
        <w:rPr>
          <w:lang w:val="en-US"/>
        </w:rPr>
        <w:t xml:space="preserve"> T</w:t>
      </w:r>
      <w:r w:rsidR="7AECCC96" w:rsidRPr="5363F397">
        <w:rPr>
          <w:lang w:val="en-US"/>
        </w:rPr>
        <w:t>he legal, administrative and financial obligations of associations and foundations provided under various laws and regulations</w:t>
      </w:r>
      <w:r w:rsidR="65A7F8CB" w:rsidRPr="5363F397">
        <w:rPr>
          <w:lang w:val="en-US"/>
        </w:rPr>
        <w:t xml:space="preserve"> have overburdened associations operating in </w:t>
      </w:r>
      <w:r w:rsidR="008F71EF" w:rsidRPr="5363F397">
        <w:rPr>
          <w:rStyle w:val="FootnoteReference"/>
          <w:lang w:val="en-US"/>
        </w:rPr>
        <w:footnoteReference w:id="13"/>
      </w:r>
      <w:r w:rsidR="65A7F8CB" w:rsidRPr="5363F397">
        <w:rPr>
          <w:lang w:val="en-US"/>
        </w:rPr>
        <w:t>.</w:t>
      </w:r>
      <w:r w:rsidR="2A306C36" w:rsidRPr="33D87F2B">
        <w:rPr>
          <w:rStyle w:val="FootnoteReference"/>
          <w:lang w:val="en-US"/>
        </w:rPr>
        <w:footnoteReference w:id="14"/>
      </w:r>
      <w:r w:rsidR="65A7F8CB" w:rsidRPr="33D87F2B">
        <w:rPr>
          <w:lang w:val="en-US"/>
        </w:rPr>
        <w:t xml:space="preserve"> Many associations are forced to dedicate significant time and resources to compliance that could be directed at the association’s mission instead, even though full compliance is practically impossible due to the legal uncertainty of these provisions which allow arbitrary sanctioning. </w:t>
      </w:r>
    </w:p>
    <w:p w14:paraId="014307BD" w14:textId="69E7CB81" w:rsidR="00E85559" w:rsidRPr="005B4405" w:rsidRDefault="26998C9A" w:rsidP="00633E6E">
      <w:pPr>
        <w:tabs>
          <w:tab w:val="left" w:pos="5364"/>
        </w:tabs>
        <w:spacing w:after="240"/>
        <w:jc w:val="both"/>
        <w:rPr>
          <w:lang w:val="en-US"/>
        </w:rPr>
      </w:pPr>
      <w:r>
        <w:rPr>
          <w:lang w:val="en-US"/>
        </w:rPr>
        <w:t xml:space="preserve">States should </w:t>
      </w:r>
      <w:r w:rsidRPr="5363F397">
        <w:rPr>
          <w:lang w:val="en-US"/>
        </w:rPr>
        <w:t>facilitate the right to access and communicate with international bodies, including by refraining from placing travel restrictions over HRDs</w:t>
      </w:r>
      <w:r w:rsidR="52BE4A61">
        <w:rPr>
          <w:lang w:val="en-US"/>
        </w:rPr>
        <w:t xml:space="preserve"> (para</w:t>
      </w:r>
      <w:r w:rsidR="52BE4A61" w:rsidRPr="5363F397">
        <w:rPr>
          <w:lang w:val="en-US"/>
        </w:rPr>
        <w:t>. 30)</w:t>
      </w:r>
      <w:r>
        <w:rPr>
          <w:lang w:val="en-US"/>
        </w:rPr>
        <w:t xml:space="preserve">. </w:t>
      </w:r>
      <w:r w:rsidR="14D9D55B">
        <w:rPr>
          <w:lang w:val="en-US"/>
        </w:rPr>
        <w:t xml:space="preserve">States hosting headquarters or offices of </w:t>
      </w:r>
      <w:r w:rsidR="45E70CC5">
        <w:rPr>
          <w:lang w:val="en-US"/>
        </w:rPr>
        <w:t xml:space="preserve">multilateral </w:t>
      </w:r>
      <w:r w:rsidR="14D9D55B">
        <w:rPr>
          <w:lang w:val="en-US"/>
        </w:rPr>
        <w:t xml:space="preserve">international or regional </w:t>
      </w:r>
      <w:r w:rsidR="45E70CC5">
        <w:rPr>
          <w:lang w:val="en-US"/>
        </w:rPr>
        <w:t>organizations</w:t>
      </w:r>
      <w:r w:rsidR="14D9D55B">
        <w:rPr>
          <w:lang w:val="en-US"/>
        </w:rPr>
        <w:t xml:space="preserve">, particularly Switzerland, France, </w:t>
      </w:r>
      <w:r w:rsidR="45E70CC5">
        <w:rPr>
          <w:lang w:val="en-US"/>
        </w:rPr>
        <w:t xml:space="preserve">Belgium, </w:t>
      </w:r>
      <w:r w:rsidR="14D9D55B">
        <w:rPr>
          <w:lang w:val="en-US"/>
        </w:rPr>
        <w:t xml:space="preserve">and USA, </w:t>
      </w:r>
      <w:r w:rsidR="2CE4A0E1">
        <w:rPr>
          <w:lang w:val="en-US"/>
        </w:rPr>
        <w:t xml:space="preserve">also </w:t>
      </w:r>
      <w:r w:rsidR="523AC093">
        <w:rPr>
          <w:lang w:val="en-US"/>
        </w:rPr>
        <w:t xml:space="preserve">have a significant role in supporting an enabling environment for the exercise of </w:t>
      </w:r>
      <w:proofErr w:type="spellStart"/>
      <w:r w:rsidR="523AC093" w:rsidRPr="5363F397">
        <w:rPr>
          <w:lang w:val="en-US"/>
        </w:rPr>
        <w:t>FoA</w:t>
      </w:r>
      <w:proofErr w:type="spellEnd"/>
      <w:r w:rsidR="523AC093" w:rsidRPr="5363F397">
        <w:rPr>
          <w:lang w:val="en-US"/>
        </w:rPr>
        <w:t xml:space="preserve"> for individuals and associations beyond their territory.</w:t>
      </w:r>
      <w:r w:rsidR="6C86F68B">
        <w:rPr>
          <w:lang w:val="en-US"/>
        </w:rPr>
        <w:t xml:space="preserve"> The impact of </w:t>
      </w:r>
      <w:r w:rsidR="6C86F68B" w:rsidRPr="5363F397">
        <w:rPr>
          <w:lang w:val="en-US"/>
        </w:rPr>
        <w:t>the European Union’s visa policies on HRDs, particularly those</w:t>
      </w:r>
      <w:r w:rsidR="22C41DA7">
        <w:rPr>
          <w:lang w:val="en-US"/>
        </w:rPr>
        <w:t xml:space="preserve"> from the Global South,</w:t>
      </w:r>
      <w:r w:rsidR="6C86F68B">
        <w:rPr>
          <w:lang w:val="en-US"/>
        </w:rPr>
        <w:t xml:space="preserve"> and their exercise of their </w:t>
      </w:r>
      <w:proofErr w:type="spellStart"/>
      <w:r w:rsidR="6C86F68B" w:rsidRPr="5363F397">
        <w:rPr>
          <w:lang w:val="en-US"/>
        </w:rPr>
        <w:t>FoA</w:t>
      </w:r>
      <w:proofErr w:type="spellEnd"/>
      <w:r w:rsidR="523AC093">
        <w:rPr>
          <w:lang w:val="en-US"/>
        </w:rPr>
        <w:t xml:space="preserve"> </w:t>
      </w:r>
      <w:r w:rsidR="6C86F68B">
        <w:rPr>
          <w:lang w:val="en-US"/>
        </w:rPr>
        <w:t>is documented</w:t>
      </w:r>
      <w:r w:rsidR="22C41DA7">
        <w:rPr>
          <w:lang w:val="en-US"/>
        </w:rPr>
        <w:t>.</w:t>
      </w:r>
      <w:r w:rsidR="00111F53">
        <w:rPr>
          <w:rStyle w:val="FootnoteReference"/>
          <w:lang w:val="en-US"/>
        </w:rPr>
        <w:footnoteReference w:id="15"/>
      </w:r>
      <w:r w:rsidR="22C41DA7">
        <w:rPr>
          <w:lang w:val="en-US"/>
        </w:rPr>
        <w:t xml:space="preserve"> </w:t>
      </w:r>
      <w:r w:rsidR="082A611F">
        <w:rPr>
          <w:lang w:val="en-US"/>
        </w:rPr>
        <w:t>Visa denials of HRDs</w:t>
      </w:r>
      <w:r w:rsidR="6C86F68B">
        <w:rPr>
          <w:lang w:val="en-US"/>
        </w:rPr>
        <w:t xml:space="preserve"> under national </w:t>
      </w:r>
      <w:r w:rsidR="6C86F68B">
        <w:rPr>
          <w:lang w:val="en-US"/>
        </w:rPr>
        <w:lastRenderedPageBreak/>
        <w:t>security or public safety grounds</w:t>
      </w:r>
      <w:r w:rsidR="082A611F">
        <w:rPr>
          <w:lang w:val="en-US"/>
        </w:rPr>
        <w:t xml:space="preserve"> have a direct impact on </w:t>
      </w:r>
      <w:r w:rsidR="2CE4A0E1">
        <w:rPr>
          <w:lang w:val="en-US"/>
        </w:rPr>
        <w:t xml:space="preserve">the exercise of </w:t>
      </w:r>
      <w:proofErr w:type="spellStart"/>
      <w:r w:rsidR="2CE4A0E1" w:rsidRPr="5363F397">
        <w:rPr>
          <w:lang w:val="en-US"/>
        </w:rPr>
        <w:t>FoA</w:t>
      </w:r>
      <w:proofErr w:type="spellEnd"/>
      <w:r w:rsidR="6C86F68B">
        <w:rPr>
          <w:lang w:val="en-US"/>
        </w:rPr>
        <w:t xml:space="preserve"> and the right to freedom of expression</w:t>
      </w:r>
      <w:r w:rsidR="2CE4A0E1">
        <w:rPr>
          <w:lang w:val="en-US"/>
        </w:rPr>
        <w:t xml:space="preserve"> </w:t>
      </w:r>
      <w:r w:rsidR="52BE4A61">
        <w:rPr>
          <w:lang w:val="en-US"/>
        </w:rPr>
        <w:t>and the development of international human rights law at the international level.</w:t>
      </w:r>
      <w:r w:rsidR="00506E22">
        <w:rPr>
          <w:rStyle w:val="FootnoteReference"/>
          <w:lang w:val="en-US"/>
        </w:rPr>
        <w:footnoteReference w:id="16"/>
      </w:r>
    </w:p>
    <w:p w14:paraId="3839E82B" w14:textId="6853258D" w:rsidR="00505FFA" w:rsidRPr="00BB3706" w:rsidRDefault="01D4A093" w:rsidP="00505FFA">
      <w:pPr>
        <w:tabs>
          <w:tab w:val="left" w:pos="5364"/>
        </w:tabs>
        <w:spacing w:after="240"/>
        <w:jc w:val="both"/>
        <w:rPr>
          <w:lang w:val="en-US"/>
        </w:rPr>
      </w:pPr>
      <w:r w:rsidRPr="005B4405">
        <w:rPr>
          <w:lang w:val="en-US"/>
        </w:rPr>
        <w:t xml:space="preserve">Access to resources has become a key challenge for associations across the globe, and the role played by donors -domestic or international, State or private- inevitably </w:t>
      </w:r>
      <w:r w:rsidR="5DA6231E" w:rsidRPr="005B4405">
        <w:rPr>
          <w:lang w:val="en-US"/>
        </w:rPr>
        <w:t xml:space="preserve">and increasingly </w:t>
      </w:r>
      <w:r w:rsidRPr="005B4405">
        <w:rPr>
          <w:lang w:val="en-US"/>
        </w:rPr>
        <w:t xml:space="preserve">cuts across the enabling environment through </w:t>
      </w:r>
      <w:r w:rsidR="728F455B" w:rsidRPr="005B4405">
        <w:rPr>
          <w:lang w:val="en-US"/>
        </w:rPr>
        <w:t xml:space="preserve">budget allocations, </w:t>
      </w:r>
      <w:r w:rsidRPr="005B4405">
        <w:rPr>
          <w:lang w:val="en-US"/>
        </w:rPr>
        <w:t>funding priorities, eligibility conditions and reporting requirements. We therefore recommend adding</w:t>
      </w:r>
      <w:r w:rsidR="728F455B" w:rsidRPr="005B4405">
        <w:rPr>
          <w:lang w:val="en-US"/>
        </w:rPr>
        <w:t xml:space="preserve"> at the very least</w:t>
      </w:r>
      <w:r w:rsidRPr="005B4405">
        <w:rPr>
          <w:lang w:val="en-US"/>
        </w:rPr>
        <w:t xml:space="preserve"> a reference to the responsibilities of donors </w:t>
      </w:r>
      <w:r w:rsidR="2034F733">
        <w:rPr>
          <w:lang w:val="en-US"/>
        </w:rPr>
        <w:t>in creating and maintaining</w:t>
      </w:r>
      <w:r w:rsidRPr="005B4405">
        <w:rPr>
          <w:lang w:val="en-US"/>
        </w:rPr>
        <w:t xml:space="preserve"> an enabling environment for the </w:t>
      </w:r>
      <w:r w:rsidRPr="00BB3706">
        <w:rPr>
          <w:lang w:val="en-US"/>
        </w:rPr>
        <w:t xml:space="preserve">exercise of the </w:t>
      </w:r>
      <w:proofErr w:type="spellStart"/>
      <w:r w:rsidR="64CCC32D" w:rsidRPr="00BB3706">
        <w:rPr>
          <w:lang w:val="en-US"/>
        </w:rPr>
        <w:t>FoA</w:t>
      </w:r>
      <w:proofErr w:type="spellEnd"/>
      <w:r w:rsidRPr="00BB3706">
        <w:rPr>
          <w:lang w:val="en-US"/>
        </w:rPr>
        <w:t>.</w:t>
      </w:r>
      <w:r w:rsidR="00426070" w:rsidRPr="00BB3706">
        <w:rPr>
          <w:rStyle w:val="FootnoteReference"/>
          <w:lang w:val="en-US"/>
        </w:rPr>
        <w:footnoteReference w:id="17"/>
      </w:r>
    </w:p>
    <w:p w14:paraId="6EDAEC70" w14:textId="6E623F3D" w:rsidR="00D75ADD" w:rsidRPr="00BB3706" w:rsidRDefault="00D75ADD" w:rsidP="00FD23D2">
      <w:pPr>
        <w:pStyle w:val="ListParagraph"/>
        <w:numPr>
          <w:ilvl w:val="2"/>
          <w:numId w:val="7"/>
        </w:numPr>
        <w:tabs>
          <w:tab w:val="left" w:pos="5364"/>
        </w:tabs>
        <w:spacing w:after="240"/>
        <w:jc w:val="both"/>
        <w:rPr>
          <w:b/>
          <w:bCs/>
          <w:lang w:val="en-US"/>
        </w:rPr>
      </w:pPr>
      <w:bookmarkStart w:id="2" w:name="_Ref232773912"/>
      <w:r w:rsidRPr="00BB3706">
        <w:rPr>
          <w:b/>
          <w:bCs/>
          <w:lang w:val="en-US"/>
        </w:rPr>
        <w:t>Paragraph 35: Functioning Environment</w:t>
      </w:r>
      <w:bookmarkEnd w:id="2"/>
    </w:p>
    <w:p w14:paraId="228865B4" w14:textId="186C982C" w:rsidR="008173C4" w:rsidRDefault="2FA277B8" w:rsidP="00BB3706">
      <w:pPr>
        <w:tabs>
          <w:tab w:val="left" w:pos="5364"/>
        </w:tabs>
        <w:spacing w:after="240"/>
        <w:jc w:val="both"/>
        <w:rPr>
          <w:lang w:val="en-US"/>
        </w:rPr>
      </w:pPr>
      <w:r>
        <w:rPr>
          <w:lang w:val="en-US"/>
        </w:rPr>
        <w:t xml:space="preserve">We recommend expanding on how </w:t>
      </w:r>
      <w:r w:rsidRPr="5363F397">
        <w:rPr>
          <w:lang w:val="en-US"/>
        </w:rPr>
        <w:t>a functioning environment under para. 35</w:t>
      </w:r>
      <w:r w:rsidR="672698DD" w:rsidRPr="5363F397">
        <w:rPr>
          <w:lang w:val="en-US"/>
        </w:rPr>
        <w:t>,</w:t>
      </w:r>
      <w:r w:rsidRPr="5363F397">
        <w:rPr>
          <w:lang w:val="en-US"/>
        </w:rPr>
        <w:t xml:space="preserve"> differs from an enabling environment under paras. 33-34. </w:t>
      </w:r>
      <w:r w:rsidR="798D6E57" w:rsidRPr="5363F397">
        <w:rPr>
          <w:lang w:val="en-US"/>
        </w:rPr>
        <w:t xml:space="preserve">We welcome the remainder of the paragraph’s focus on State obligations regarding hostile attitudes by public and private </w:t>
      </w:r>
      <w:r w:rsidR="0285E518" w:rsidRPr="5363F397">
        <w:rPr>
          <w:lang w:val="en-US"/>
        </w:rPr>
        <w:t>actors and</w:t>
      </w:r>
      <w:r w:rsidR="798D6E57" w:rsidRPr="5363F397">
        <w:rPr>
          <w:lang w:val="en-US"/>
        </w:rPr>
        <w:t xml:space="preserve"> suggest adding a sentence that positive obligations of States include establishing and maintaining an environment where individuals are able to exercise </w:t>
      </w:r>
      <w:r w:rsidR="0285E518" w:rsidRPr="5363F397">
        <w:rPr>
          <w:lang w:val="en-US"/>
        </w:rPr>
        <w:t xml:space="preserve">their </w:t>
      </w:r>
      <w:proofErr w:type="spellStart"/>
      <w:r w:rsidR="0285E518" w:rsidRPr="5363F397">
        <w:rPr>
          <w:lang w:val="en-US"/>
        </w:rPr>
        <w:t>FoA</w:t>
      </w:r>
      <w:proofErr w:type="spellEnd"/>
      <w:r w:rsidR="798D6E57" w:rsidRPr="5363F397">
        <w:rPr>
          <w:lang w:val="en-US"/>
        </w:rPr>
        <w:t xml:space="preserve"> without fear, intimidation or threats.</w:t>
      </w:r>
      <w:r w:rsidR="000821D9" w:rsidRPr="5363F397">
        <w:rPr>
          <w:rStyle w:val="FootnoteReference"/>
          <w:lang w:val="en-US"/>
        </w:rPr>
        <w:footnoteReference w:id="18"/>
      </w:r>
      <w:r w:rsidR="798D6E57" w:rsidRPr="5363F397">
        <w:rPr>
          <w:lang w:val="en-US"/>
        </w:rPr>
        <w:t xml:space="preserve"> </w:t>
      </w:r>
      <w:r w:rsidR="72EDC9B3" w:rsidRPr="5363F397">
        <w:rPr>
          <w:lang w:val="en-US"/>
        </w:rPr>
        <w:t xml:space="preserve">The General Comment should also explicitly state that States’ </w:t>
      </w:r>
      <w:r w:rsidR="13B1FD72" w:rsidRPr="5363F397">
        <w:rPr>
          <w:lang w:val="en-US"/>
        </w:rPr>
        <w:t xml:space="preserve">positive obligation extends to ensuring that third parties do not interfere with individuals’ </w:t>
      </w:r>
      <w:proofErr w:type="spellStart"/>
      <w:r w:rsidR="13B1FD72" w:rsidRPr="5363F397">
        <w:rPr>
          <w:lang w:val="en-US"/>
        </w:rPr>
        <w:t>FoA</w:t>
      </w:r>
      <w:proofErr w:type="spellEnd"/>
      <w:r w:rsidR="13B1FD72" w:rsidRPr="5363F397">
        <w:rPr>
          <w:lang w:val="en-US"/>
        </w:rPr>
        <w:t xml:space="preserve"> or the rights of associations themselves.</w:t>
      </w:r>
      <w:r w:rsidR="000821D9" w:rsidRPr="5363F397">
        <w:rPr>
          <w:rStyle w:val="FootnoteReference"/>
          <w:lang w:val="en-US"/>
        </w:rPr>
        <w:footnoteReference w:id="19"/>
      </w:r>
    </w:p>
    <w:p w14:paraId="16E1F66B" w14:textId="0385397E" w:rsidR="002D7299" w:rsidRPr="005B4405" w:rsidRDefault="2746EF84" w:rsidP="008173C4">
      <w:pPr>
        <w:tabs>
          <w:tab w:val="left" w:pos="5364"/>
        </w:tabs>
        <w:spacing w:after="240"/>
        <w:jc w:val="both"/>
        <w:rPr>
          <w:lang w:val="en-US"/>
        </w:rPr>
      </w:pPr>
      <w:r>
        <w:rPr>
          <w:lang w:val="en-US"/>
        </w:rPr>
        <w:t xml:space="preserve">While </w:t>
      </w:r>
      <w:r w:rsidR="0285E518">
        <w:rPr>
          <w:lang w:val="en-US"/>
        </w:rPr>
        <w:t>we appreciate that effective remedies are</w:t>
      </w:r>
      <w:r w:rsidR="19010839">
        <w:rPr>
          <w:lang w:val="en-US"/>
        </w:rPr>
        <w:t xml:space="preserve"> </w:t>
      </w:r>
      <w:r w:rsidR="0285E518">
        <w:rPr>
          <w:lang w:val="en-US"/>
        </w:rPr>
        <w:t>detailed elsewhere, w</w:t>
      </w:r>
      <w:r w:rsidR="798D6E57">
        <w:rPr>
          <w:lang w:val="en-US"/>
        </w:rPr>
        <w:t xml:space="preserve">e </w:t>
      </w:r>
      <w:r w:rsidR="0285E518">
        <w:rPr>
          <w:lang w:val="en-US"/>
        </w:rPr>
        <w:t xml:space="preserve">suggest that </w:t>
      </w:r>
      <w:r w:rsidR="19010839">
        <w:rPr>
          <w:lang w:val="en-US"/>
        </w:rPr>
        <w:t xml:space="preserve">the obligation to provide effective remedies against smear campaigns should at least be mentioned in this paragraph, as an enabling environment is subject to, among others, effective remedies against unjust interferences. </w:t>
      </w:r>
      <w:r>
        <w:rPr>
          <w:lang w:val="en-US"/>
        </w:rPr>
        <w:t>Anti-human rights and anti-gender groups have mobilized across regions, producing localized harmful narratives aligned with anti-democratic ideologies</w:t>
      </w:r>
      <w:r w:rsidR="5C322429">
        <w:rPr>
          <w:lang w:val="en-US"/>
        </w:rPr>
        <w:t xml:space="preserve">, with powerful connections in government, the judiciary, and media. Their networks allow them to not only produce and control hate narratives damaging human </w:t>
      </w:r>
      <w:r w:rsidR="5C322429">
        <w:rPr>
          <w:lang w:val="en-US"/>
        </w:rPr>
        <w:lastRenderedPageBreak/>
        <w:t xml:space="preserve">rights and gender equality but also translate these into </w:t>
      </w:r>
      <w:r w:rsidR="03813BA6">
        <w:rPr>
          <w:lang w:val="en-US"/>
        </w:rPr>
        <w:t xml:space="preserve">regressive </w:t>
      </w:r>
      <w:r w:rsidR="5C322429">
        <w:rPr>
          <w:lang w:val="en-US"/>
        </w:rPr>
        <w:t>policy</w:t>
      </w:r>
      <w:r w:rsidR="46A03659">
        <w:rPr>
          <w:lang w:val="en-US"/>
        </w:rPr>
        <w:t xml:space="preserve"> and </w:t>
      </w:r>
      <w:r w:rsidR="03813BA6">
        <w:rPr>
          <w:lang w:val="en-US"/>
        </w:rPr>
        <w:t>harassment of associations</w:t>
      </w:r>
      <w:r w:rsidR="5C322429">
        <w:rPr>
          <w:lang w:val="en-US"/>
        </w:rPr>
        <w:t xml:space="preserve">, such as </w:t>
      </w:r>
      <w:r w:rsidR="6779F457" w:rsidRPr="5363F397">
        <w:rPr>
          <w:lang w:val="en-US"/>
        </w:rPr>
        <w:t>Türkiye</w:t>
      </w:r>
      <w:r w:rsidR="5C322429" w:rsidRPr="5363F397">
        <w:rPr>
          <w:lang w:val="en-US"/>
        </w:rPr>
        <w:t>’s withdrawal from the Istanbul Convention</w:t>
      </w:r>
      <w:r w:rsidR="46A03659" w:rsidRPr="5363F397">
        <w:rPr>
          <w:lang w:val="en-US"/>
        </w:rPr>
        <w:t xml:space="preserve"> </w:t>
      </w:r>
      <w:r w:rsidR="03813BA6" w:rsidRPr="5363F397">
        <w:rPr>
          <w:lang w:val="en-US"/>
        </w:rPr>
        <w:t>and</w:t>
      </w:r>
      <w:r w:rsidR="46A03659" w:rsidRPr="5363F397">
        <w:rPr>
          <w:lang w:val="en-US"/>
        </w:rPr>
        <w:t xml:space="preserve"> the involuntary dissolution of the </w:t>
      </w:r>
      <w:proofErr w:type="spellStart"/>
      <w:r w:rsidR="46A03659" w:rsidRPr="5363F397">
        <w:rPr>
          <w:lang w:val="en-US"/>
        </w:rPr>
        <w:t>Tarlabaşı</w:t>
      </w:r>
      <w:proofErr w:type="spellEnd"/>
      <w:r w:rsidR="46A03659" w:rsidRPr="5363F397">
        <w:rPr>
          <w:lang w:val="en-US"/>
        </w:rPr>
        <w:t xml:space="preserve"> Community Center in Istanbul following a smear campaign targeting the center’s LGBTI+ </w:t>
      </w:r>
      <w:r w:rsidR="03813BA6" w:rsidRPr="5363F397">
        <w:rPr>
          <w:lang w:val="en-US"/>
        </w:rPr>
        <w:t>inclusive</w:t>
      </w:r>
      <w:r w:rsidR="46A03659" w:rsidRPr="5363F397">
        <w:rPr>
          <w:lang w:val="en-US"/>
        </w:rPr>
        <w:t xml:space="preserve"> gender equality work</w:t>
      </w:r>
      <w:r w:rsidR="5C322429" w:rsidRPr="5363F397">
        <w:rPr>
          <w:lang w:val="en-US"/>
        </w:rPr>
        <w:t>.</w:t>
      </w:r>
      <w:r w:rsidR="00BB3706" w:rsidRPr="5363F397">
        <w:rPr>
          <w:rStyle w:val="FootnoteReference"/>
          <w:lang w:val="en-US"/>
        </w:rPr>
        <w:footnoteReference w:id="20"/>
      </w:r>
      <w:r w:rsidR="5C322429" w:rsidRPr="5363F397">
        <w:rPr>
          <w:lang w:val="en-US"/>
        </w:rPr>
        <w:t xml:space="preserve"> </w:t>
      </w:r>
      <w:r w:rsidR="0EF68453" w:rsidRPr="5363F397">
        <w:rPr>
          <w:lang w:val="en-US"/>
        </w:rPr>
        <w:t>Since, as rightly noted by the Draft General Comment, “</w:t>
      </w:r>
      <w:r w:rsidR="0EF68453">
        <w:t>Failure to respect and ensure the right to freedom of association is typically indicative of a broader repressive society”</w:t>
      </w:r>
      <w:r w:rsidR="0749944F">
        <w:t xml:space="preserve"> (para. 3),</w:t>
      </w:r>
      <w:r w:rsidR="0EF68453">
        <w:t xml:space="preserve"> </w:t>
      </w:r>
      <w:r w:rsidR="0749944F">
        <w:t xml:space="preserve">those </w:t>
      </w:r>
      <w:r w:rsidR="0EF68453">
        <w:t>operat</w:t>
      </w:r>
      <w:r w:rsidR="0749944F">
        <w:t>ing</w:t>
      </w:r>
      <w:r w:rsidR="0EF68453">
        <w:t xml:space="preserve"> in such hostile environments are also limited in their ability to </w:t>
      </w:r>
      <w:r w:rsidR="0749944F">
        <w:t xml:space="preserve">reach masses and </w:t>
      </w:r>
      <w:r w:rsidR="0EF68453">
        <w:t>respond to harmful narratives and smears</w:t>
      </w:r>
      <w:r w:rsidR="0749944F">
        <w:t>. Alongside the lack of effective remedies, individuals and associations are left with nothing to challenge anti-democratic rhetoric that is supported by governments openly or by looking the other way. This hostile environment with no remedies available</w:t>
      </w:r>
      <w:r w:rsidR="28ABE471">
        <w:t xml:space="preserve"> also</w:t>
      </w:r>
      <w:r w:rsidR="0749944F">
        <w:t xml:space="preserve"> deepens the chilling effect felt by others in exercising </w:t>
      </w:r>
      <w:proofErr w:type="spellStart"/>
      <w:r w:rsidR="0749944F">
        <w:t>FoA</w:t>
      </w:r>
      <w:proofErr w:type="spellEnd"/>
      <w:r w:rsidR="0749944F">
        <w:t>.</w:t>
      </w:r>
    </w:p>
    <w:p w14:paraId="69FB09C7" w14:textId="30F56437" w:rsidR="003638C2" w:rsidRPr="003638C2" w:rsidRDefault="003638C2" w:rsidP="00FD23D2">
      <w:pPr>
        <w:pStyle w:val="ListParagraph"/>
        <w:numPr>
          <w:ilvl w:val="2"/>
          <w:numId w:val="7"/>
        </w:numPr>
        <w:tabs>
          <w:tab w:val="left" w:pos="5364"/>
        </w:tabs>
        <w:spacing w:after="240"/>
        <w:jc w:val="both"/>
        <w:rPr>
          <w:b/>
          <w:bCs/>
          <w:lang w:val="en-US"/>
        </w:rPr>
      </w:pPr>
      <w:r w:rsidRPr="003638C2">
        <w:rPr>
          <w:b/>
          <w:bCs/>
          <w:lang w:val="en-US"/>
        </w:rPr>
        <w:t>Paragraph 37: Responsibilities of Big Tech</w:t>
      </w:r>
    </w:p>
    <w:p w14:paraId="46249DFC" w14:textId="47ED3884" w:rsidR="003638C2" w:rsidRDefault="2F1211FE" w:rsidP="003638C2">
      <w:pPr>
        <w:tabs>
          <w:tab w:val="left" w:pos="5364"/>
        </w:tabs>
        <w:spacing w:after="240"/>
        <w:jc w:val="both"/>
      </w:pPr>
      <w:r>
        <w:rPr>
          <w:lang w:val="en-US"/>
        </w:rPr>
        <w:t xml:space="preserve">We </w:t>
      </w:r>
      <w:r w:rsidRPr="5363F397">
        <w:rPr>
          <w:lang w:val="en-US"/>
        </w:rPr>
        <w:t>welcome reference</w:t>
      </w:r>
      <w:r w:rsidR="294B3D7B" w:rsidRPr="5363F397">
        <w:rPr>
          <w:lang w:val="en-US"/>
        </w:rPr>
        <w:t>s</w:t>
      </w:r>
      <w:r w:rsidRPr="5363F397">
        <w:rPr>
          <w:lang w:val="en-US"/>
        </w:rPr>
        <w:t xml:space="preserve"> to the UN Guiding Principles on Business and Human Rights. We recommend adding a sentence here or elsewhere in the General Comment on companies’ responsibility to avoid causing or contributing to adverse human rights impacts and to prevent or</w:t>
      </w:r>
      <w:r>
        <w:t xml:space="preserve"> mitigate impacts directly linked to their operations, products or services from their business relationships.</w:t>
      </w:r>
      <w:r w:rsidR="003638C2" w:rsidRPr="5363F397">
        <w:rPr>
          <w:rStyle w:val="FootnoteReference"/>
        </w:rPr>
        <w:footnoteReference w:id="21"/>
      </w:r>
    </w:p>
    <w:p w14:paraId="24071FCB" w14:textId="15DBF46F" w:rsidR="008F21C4" w:rsidRPr="003638C2" w:rsidRDefault="4B909432" w:rsidP="003638C2">
      <w:pPr>
        <w:tabs>
          <w:tab w:val="left" w:pos="5364"/>
        </w:tabs>
        <w:spacing w:after="240"/>
        <w:jc w:val="both"/>
        <w:rPr>
          <w:lang w:val="en-US"/>
        </w:rPr>
      </w:pPr>
      <w:r>
        <w:rPr>
          <w:lang w:val="en-US"/>
        </w:rPr>
        <w:t xml:space="preserve">On June 19, 2026, days before Pride </w:t>
      </w:r>
      <w:r w:rsidRPr="5363F397">
        <w:rPr>
          <w:lang w:val="en-US"/>
        </w:rPr>
        <w:t xml:space="preserve">Marches would be held across </w:t>
      </w:r>
      <w:r w:rsidR="6779F457" w:rsidRPr="5363F397">
        <w:rPr>
          <w:lang w:val="en-US"/>
        </w:rPr>
        <w:t>Türkiye</w:t>
      </w:r>
      <w:r w:rsidRPr="5363F397">
        <w:rPr>
          <w:lang w:val="en-US"/>
        </w:rPr>
        <w:t xml:space="preserve">, X and Meta blocked the accounts of </w:t>
      </w:r>
      <w:r w:rsidR="58A4BD2F" w:rsidRPr="5363F397">
        <w:rPr>
          <w:lang w:val="en-US"/>
        </w:rPr>
        <w:t xml:space="preserve">almost all </w:t>
      </w:r>
      <w:r w:rsidRPr="5363F397">
        <w:rPr>
          <w:lang w:val="en-US"/>
        </w:rPr>
        <w:t>LGBT</w:t>
      </w:r>
      <w:r w:rsidR="4DDC549B" w:rsidRPr="5363F397">
        <w:rPr>
          <w:lang w:val="en-US"/>
        </w:rPr>
        <w:t>Q</w:t>
      </w:r>
      <w:r w:rsidRPr="5363F397">
        <w:rPr>
          <w:lang w:val="en-US"/>
        </w:rPr>
        <w:t xml:space="preserve">I+ </w:t>
      </w:r>
      <w:r w:rsidR="58A4BD2F" w:rsidRPr="5363F397">
        <w:rPr>
          <w:lang w:val="en-US"/>
        </w:rPr>
        <w:t>organizations</w:t>
      </w:r>
      <w:r w:rsidRPr="5363F397">
        <w:rPr>
          <w:lang w:val="en-US"/>
        </w:rPr>
        <w:t xml:space="preserve"> as well as </w:t>
      </w:r>
      <w:r w:rsidR="58A4BD2F" w:rsidRPr="5363F397">
        <w:rPr>
          <w:lang w:val="en-US"/>
        </w:rPr>
        <w:t xml:space="preserve">many </w:t>
      </w:r>
      <w:r w:rsidRPr="5363F397">
        <w:rPr>
          <w:lang w:val="en-US"/>
        </w:rPr>
        <w:t xml:space="preserve">women’s rights, feminist and human rights </w:t>
      </w:r>
      <w:r w:rsidR="58A4BD2F" w:rsidRPr="5363F397">
        <w:rPr>
          <w:lang w:val="en-US"/>
        </w:rPr>
        <w:t>organizations</w:t>
      </w:r>
      <w:r w:rsidRPr="5363F397">
        <w:rPr>
          <w:lang w:val="en-US"/>
        </w:rPr>
        <w:t>.</w:t>
      </w:r>
      <w:r w:rsidR="0FEBA021" w:rsidRPr="5363F397">
        <w:rPr>
          <w:lang w:val="en-US"/>
        </w:rPr>
        <w:t xml:space="preserve"> This follows </w:t>
      </w:r>
      <w:r w:rsidR="16BF6997" w:rsidRPr="5363F397">
        <w:rPr>
          <w:lang w:val="en-US"/>
        </w:rPr>
        <w:t>a pattern of</w:t>
      </w:r>
      <w:r w:rsidR="0FEBA021" w:rsidRPr="5363F397">
        <w:rPr>
          <w:lang w:val="en-US"/>
        </w:rPr>
        <w:t xml:space="preserve"> censorship of LGBTI+ groups</w:t>
      </w:r>
      <w:r w:rsidR="16BF6997" w:rsidRPr="5363F397">
        <w:rPr>
          <w:lang w:val="en-US"/>
        </w:rPr>
        <w:t>, Kurdish HRDs and journalists,</w:t>
      </w:r>
      <w:r w:rsidR="0FEBA021" w:rsidRPr="5363F397">
        <w:rPr>
          <w:lang w:val="en-US"/>
        </w:rPr>
        <w:t xml:space="preserve"> as well as political dissidents on social media.</w:t>
      </w:r>
      <w:r w:rsidR="004A3447" w:rsidRPr="5363F397">
        <w:rPr>
          <w:rStyle w:val="FootnoteReference"/>
          <w:lang w:val="en-US"/>
        </w:rPr>
        <w:footnoteReference w:id="22"/>
      </w:r>
      <w:r w:rsidR="4604CCDA" w:rsidRPr="5363F397">
        <w:rPr>
          <w:lang w:val="en-US"/>
        </w:rPr>
        <w:t xml:space="preserve"> </w:t>
      </w:r>
      <w:r w:rsidR="7E611864" w:rsidRPr="5363F397">
        <w:rPr>
          <w:lang w:val="en-US"/>
        </w:rPr>
        <w:t>Authoritarian States increasingly resort to removing legitimate online content in violation of the right to freedom of expression, while b</w:t>
      </w:r>
      <w:r w:rsidR="4604CCDA" w:rsidRPr="5363F397">
        <w:rPr>
          <w:lang w:val="en-US"/>
        </w:rPr>
        <w:t xml:space="preserve">ig tech companies frequently capitulate to </w:t>
      </w:r>
      <w:r w:rsidR="7E611864" w:rsidRPr="5363F397">
        <w:rPr>
          <w:lang w:val="en-US"/>
        </w:rPr>
        <w:t xml:space="preserve">their </w:t>
      </w:r>
      <w:r w:rsidR="4604CCDA" w:rsidRPr="5363F397">
        <w:rPr>
          <w:lang w:val="en-US"/>
        </w:rPr>
        <w:t>demands,</w:t>
      </w:r>
      <w:r w:rsidR="7E611864" w:rsidRPr="5363F397">
        <w:rPr>
          <w:lang w:val="en-US"/>
        </w:rPr>
        <w:t xml:space="preserve"> under threat of sanctions and emboldened by the lack of consistent content </w:t>
      </w:r>
      <w:r w:rsidR="75CC7B28" w:rsidRPr="5363F397">
        <w:rPr>
          <w:lang w:val="en-US"/>
        </w:rPr>
        <w:t>moderation</w:t>
      </w:r>
      <w:r w:rsidR="7E611864" w:rsidRPr="5363F397">
        <w:rPr>
          <w:lang w:val="en-US"/>
        </w:rPr>
        <w:t xml:space="preserve"> policies.</w:t>
      </w:r>
      <w:r w:rsidR="004A3447" w:rsidRPr="5363F397">
        <w:rPr>
          <w:rStyle w:val="FootnoteReference"/>
          <w:lang w:val="en-US"/>
        </w:rPr>
        <w:footnoteReference w:id="23"/>
      </w:r>
      <w:r w:rsidR="7E611864" w:rsidRPr="5363F397">
        <w:rPr>
          <w:lang w:val="en-US"/>
        </w:rPr>
        <w:t xml:space="preserve"> </w:t>
      </w:r>
      <w:r w:rsidR="62C11849" w:rsidRPr="5363F397">
        <w:rPr>
          <w:lang w:val="en-US"/>
        </w:rPr>
        <w:t xml:space="preserve">As noted by the Draft General Comment, online restrictions can undermine the exercise of </w:t>
      </w:r>
      <w:proofErr w:type="spellStart"/>
      <w:r w:rsidR="62C11849" w:rsidRPr="5363F397">
        <w:rPr>
          <w:lang w:val="en-US"/>
        </w:rPr>
        <w:t>FoA</w:t>
      </w:r>
      <w:proofErr w:type="spellEnd"/>
      <w:r w:rsidR="62C11849" w:rsidRPr="5363F397">
        <w:rPr>
          <w:lang w:val="en-US"/>
        </w:rPr>
        <w:t xml:space="preserve"> and have a chilling effect over others (para. 11). </w:t>
      </w:r>
      <w:r w:rsidR="1FC76578" w:rsidRPr="5363F397">
        <w:rPr>
          <w:lang w:val="en-US"/>
        </w:rPr>
        <w:t xml:space="preserve">Big tech’s </w:t>
      </w:r>
      <w:r w:rsidR="28ABE471" w:rsidRPr="5363F397">
        <w:rPr>
          <w:lang w:val="en-US"/>
        </w:rPr>
        <w:t xml:space="preserve">power and </w:t>
      </w:r>
      <w:r w:rsidR="1FC76578" w:rsidRPr="5363F397">
        <w:rPr>
          <w:lang w:val="en-US"/>
        </w:rPr>
        <w:t xml:space="preserve">complicity in </w:t>
      </w:r>
      <w:r w:rsidR="33FE9B89" w:rsidRPr="5363F397">
        <w:rPr>
          <w:lang w:val="en-US"/>
        </w:rPr>
        <w:t xml:space="preserve">unjust restrictions of the right to freedom of expression and </w:t>
      </w:r>
      <w:proofErr w:type="spellStart"/>
      <w:r w:rsidR="33FE9B89" w:rsidRPr="5363F397">
        <w:rPr>
          <w:lang w:val="en-US"/>
        </w:rPr>
        <w:t>FoA</w:t>
      </w:r>
      <w:proofErr w:type="spellEnd"/>
      <w:r w:rsidR="33FE9B89" w:rsidRPr="5363F397">
        <w:rPr>
          <w:lang w:val="en-US"/>
        </w:rPr>
        <w:t xml:space="preserve"> </w:t>
      </w:r>
      <w:r w:rsidR="75CC7B28" w:rsidRPr="5363F397">
        <w:rPr>
          <w:lang w:val="en-US"/>
        </w:rPr>
        <w:t>is substantial</w:t>
      </w:r>
      <w:r w:rsidR="28ABE471" w:rsidRPr="5363F397">
        <w:rPr>
          <w:lang w:val="en-US"/>
        </w:rPr>
        <w:t xml:space="preserve"> enough to lead to novel interpretations of their responsibilities under international human rights law.</w:t>
      </w:r>
    </w:p>
    <w:p w14:paraId="68782FD8" w14:textId="51124D19" w:rsidR="00301E2C" w:rsidRPr="005B4405" w:rsidRDefault="00301E2C" w:rsidP="00FD23D2">
      <w:pPr>
        <w:pStyle w:val="ListParagraph"/>
        <w:numPr>
          <w:ilvl w:val="2"/>
          <w:numId w:val="7"/>
        </w:numPr>
        <w:tabs>
          <w:tab w:val="left" w:pos="5364"/>
        </w:tabs>
        <w:spacing w:after="240"/>
        <w:jc w:val="both"/>
        <w:rPr>
          <w:lang w:val="en-US"/>
        </w:rPr>
      </w:pPr>
      <w:r w:rsidRPr="005B4405">
        <w:rPr>
          <w:b/>
          <w:bCs/>
          <w:lang w:val="en-US"/>
        </w:rPr>
        <w:t>Paragraph 38: Non-Discrimination and The Right to Equality</w:t>
      </w:r>
    </w:p>
    <w:p w14:paraId="0768086F" w14:textId="00040D42" w:rsidR="0067301B" w:rsidRPr="005B4405" w:rsidRDefault="00327CA2" w:rsidP="00327CA2">
      <w:pPr>
        <w:tabs>
          <w:tab w:val="left" w:pos="5364"/>
        </w:tabs>
        <w:spacing w:after="240"/>
        <w:jc w:val="both"/>
        <w:rPr>
          <w:lang w:val="en-US"/>
        </w:rPr>
      </w:pPr>
      <w:r w:rsidRPr="005B4405">
        <w:rPr>
          <w:lang w:val="en-US"/>
        </w:rPr>
        <w:t xml:space="preserve">We recommend </w:t>
      </w:r>
      <w:r w:rsidR="0067301B" w:rsidRPr="005B4405">
        <w:rPr>
          <w:lang w:val="en-US"/>
        </w:rPr>
        <w:t>mention</w:t>
      </w:r>
      <w:r w:rsidRPr="005B4405">
        <w:rPr>
          <w:lang w:val="en-US"/>
        </w:rPr>
        <w:t xml:space="preserve">ing the relationship between non-discrimination </w:t>
      </w:r>
      <w:r w:rsidR="008173C4">
        <w:rPr>
          <w:lang w:val="en-US"/>
        </w:rPr>
        <w:t xml:space="preserve">in </w:t>
      </w:r>
      <w:r w:rsidR="008173C4" w:rsidRPr="005B4405">
        <w:rPr>
          <w:lang w:val="en-US"/>
        </w:rPr>
        <w:t xml:space="preserve">benefitting from an enabling environment </w:t>
      </w:r>
      <w:r w:rsidRPr="005B4405">
        <w:rPr>
          <w:lang w:val="en-US"/>
        </w:rPr>
        <w:t>and a pluralistic democracy. W</w:t>
      </w:r>
      <w:r w:rsidR="002E75C9" w:rsidRPr="005B4405">
        <w:rPr>
          <w:lang w:val="en-US"/>
        </w:rPr>
        <w:t xml:space="preserve">e further suggest emphasizing that </w:t>
      </w:r>
      <w:r w:rsidR="002E75C9" w:rsidRPr="005B4405">
        <w:rPr>
          <w:lang w:val="en-US"/>
        </w:rPr>
        <w:lastRenderedPageBreak/>
        <w:t xml:space="preserve">policies for an enabling environment, such as tax incentives and state funding, should be applicable without discrimination. </w:t>
      </w:r>
      <w:r w:rsidR="007D7402" w:rsidRPr="005B4405">
        <w:rPr>
          <w:lang w:val="en-US"/>
        </w:rPr>
        <w:t>Favorable</w:t>
      </w:r>
      <w:r w:rsidR="002E75C9" w:rsidRPr="005B4405">
        <w:rPr>
          <w:lang w:val="en-US"/>
        </w:rPr>
        <w:t xml:space="preserve"> policies should apply based on clear and foreseeable criteria without broad discretions granted to the administration to ensure that all associations benefit from </w:t>
      </w:r>
      <w:proofErr w:type="gramStart"/>
      <w:r w:rsidR="002E75C9" w:rsidRPr="005B4405">
        <w:rPr>
          <w:lang w:val="en-US"/>
        </w:rPr>
        <w:t>the enabling</w:t>
      </w:r>
      <w:proofErr w:type="gramEnd"/>
      <w:r w:rsidR="002E75C9" w:rsidRPr="005B4405">
        <w:rPr>
          <w:lang w:val="en-US"/>
        </w:rPr>
        <w:t xml:space="preserve"> environment.</w:t>
      </w:r>
      <w:r w:rsidR="0067301B" w:rsidRPr="005B4405">
        <w:rPr>
          <w:lang w:val="en-US"/>
        </w:rPr>
        <w:t xml:space="preserve"> </w:t>
      </w:r>
    </w:p>
    <w:p w14:paraId="16ED1C53" w14:textId="0F45AC65" w:rsidR="002E75C9" w:rsidRPr="005B4405" w:rsidRDefault="7D287A0B" w:rsidP="5363F397">
      <w:pPr>
        <w:tabs>
          <w:tab w:val="left" w:pos="5364"/>
        </w:tabs>
        <w:spacing w:after="240"/>
        <w:jc w:val="both"/>
        <w:rPr>
          <w:lang w:val="en-US"/>
        </w:rPr>
      </w:pPr>
      <w:r w:rsidRPr="5363F397">
        <w:rPr>
          <w:lang w:val="en-US"/>
        </w:rPr>
        <w:t>The rise of government-organized non-governmental organizations (GONGOs) across various countries</w:t>
      </w:r>
      <w:r w:rsidR="3AB23F73" w:rsidRPr="5363F397">
        <w:rPr>
          <w:lang w:val="en-US"/>
        </w:rPr>
        <w:t>, such as</w:t>
      </w:r>
      <w:r w:rsidR="3834CD87" w:rsidRPr="5363F397">
        <w:rPr>
          <w:lang w:val="en-US"/>
        </w:rPr>
        <w:t xml:space="preserve"> Türkiye,</w:t>
      </w:r>
      <w:r w:rsidR="0FCA3C0E" w:rsidRPr="5363F397">
        <w:rPr>
          <w:lang w:val="en-US"/>
        </w:rPr>
        <w:t xml:space="preserve"> </w:t>
      </w:r>
      <w:r w:rsidRPr="5363F397">
        <w:rPr>
          <w:lang w:val="en-US"/>
        </w:rPr>
        <w:t>has served to mask shrinking civic space and spread counter-narratives to human rights while seeking to discredit independent associations domestically and internationally.</w:t>
      </w:r>
      <w:r w:rsidR="0067301B" w:rsidRPr="5363F397">
        <w:rPr>
          <w:rStyle w:val="FootnoteReference"/>
          <w:lang w:val="en-US"/>
        </w:rPr>
        <w:footnoteReference w:id="24"/>
      </w:r>
      <w:r w:rsidRPr="5363F397">
        <w:rPr>
          <w:lang w:val="en-US"/>
        </w:rPr>
        <w:t xml:space="preserve"> </w:t>
      </w:r>
      <w:r w:rsidR="0749944F" w:rsidRPr="5363F397">
        <w:rPr>
          <w:lang w:val="en-US"/>
        </w:rPr>
        <w:t xml:space="preserve">These organizations frequently benefit from incentives and state funding while </w:t>
      </w:r>
      <w:r w:rsidR="21534EEE" w:rsidRPr="5363F397">
        <w:rPr>
          <w:lang w:val="en-US"/>
        </w:rPr>
        <w:t>dissenting</w:t>
      </w:r>
      <w:r w:rsidR="0749944F" w:rsidRPr="5363F397">
        <w:rPr>
          <w:lang w:val="en-US"/>
        </w:rPr>
        <w:t xml:space="preserve"> associations are arbitrarily excluded from the same enabling environment.</w:t>
      </w:r>
      <w:r w:rsidR="0067301B" w:rsidRPr="5363F397">
        <w:rPr>
          <w:rStyle w:val="FootnoteReference"/>
          <w:lang w:val="en-US"/>
        </w:rPr>
        <w:footnoteReference w:id="25"/>
      </w:r>
      <w:r w:rsidR="0749944F" w:rsidRPr="5363F397">
        <w:rPr>
          <w:lang w:val="en-US"/>
        </w:rPr>
        <w:t xml:space="preserve"> </w:t>
      </w:r>
      <w:r w:rsidRPr="5363F397">
        <w:rPr>
          <w:lang w:val="en-US"/>
        </w:rPr>
        <w:t>We are therefore of the opinion that the General Comment should explicitly address th</w:t>
      </w:r>
      <w:r w:rsidR="21534EEE" w:rsidRPr="5363F397">
        <w:rPr>
          <w:lang w:val="en-US"/>
        </w:rPr>
        <w:t>e</w:t>
      </w:r>
      <w:r w:rsidRPr="5363F397">
        <w:rPr>
          <w:lang w:val="en-US"/>
        </w:rPr>
        <w:t xml:space="preserve"> phenomenon</w:t>
      </w:r>
      <w:r w:rsidR="21534EEE" w:rsidRPr="5363F397">
        <w:rPr>
          <w:lang w:val="en-US"/>
        </w:rPr>
        <w:t xml:space="preserve"> of GONGOs</w:t>
      </w:r>
      <w:r w:rsidRPr="5363F397">
        <w:rPr>
          <w:lang w:val="en-US"/>
        </w:rPr>
        <w:t xml:space="preserve"> and the threat it presents to an independent, autonomous civil society.</w:t>
      </w:r>
    </w:p>
    <w:p w14:paraId="0A7A7B40" w14:textId="1093E947" w:rsidR="0066396A" w:rsidRPr="00225494" w:rsidRDefault="00301E2C" w:rsidP="00225494">
      <w:pPr>
        <w:pStyle w:val="ListParagraph"/>
        <w:numPr>
          <w:ilvl w:val="2"/>
          <w:numId w:val="7"/>
        </w:numPr>
        <w:tabs>
          <w:tab w:val="left" w:pos="5364"/>
        </w:tabs>
        <w:spacing w:after="240"/>
        <w:jc w:val="both"/>
        <w:rPr>
          <w:b/>
          <w:bCs/>
          <w:lang w:val="en-US"/>
        </w:rPr>
      </w:pPr>
      <w:r w:rsidRPr="00225494">
        <w:rPr>
          <w:b/>
          <w:bCs/>
          <w:lang w:val="en-US"/>
        </w:rPr>
        <w:t>Paragraphs 39-40: Effective Remedy</w:t>
      </w:r>
    </w:p>
    <w:p w14:paraId="7266ADD9" w14:textId="2D23E074" w:rsidR="00B5379B" w:rsidRPr="005B4405" w:rsidRDefault="693A4434" w:rsidP="00EC313B">
      <w:pPr>
        <w:tabs>
          <w:tab w:val="left" w:pos="5364"/>
        </w:tabs>
        <w:spacing w:after="240"/>
        <w:jc w:val="both"/>
        <w:rPr>
          <w:lang w:val="en-US"/>
        </w:rPr>
      </w:pPr>
      <w:r w:rsidRPr="005B4405">
        <w:rPr>
          <w:lang w:val="en-US"/>
        </w:rPr>
        <w:t xml:space="preserve">We welcome </w:t>
      </w:r>
      <w:r w:rsidRPr="005B4405" w:rsidDel="00D504A0">
        <w:rPr>
          <w:lang w:val="en-US"/>
        </w:rPr>
        <w:t xml:space="preserve">para. 19 </w:t>
      </w:r>
      <w:r w:rsidR="53109D0A" w:rsidRPr="33D87F2B">
        <w:rPr>
          <w:lang w:val="en-US"/>
        </w:rPr>
        <w:t xml:space="preserve">which provides that </w:t>
      </w:r>
      <w:r w:rsidRPr="33D87F2B">
        <w:rPr>
          <w:lang w:val="en-US"/>
        </w:rPr>
        <w:t>compulsory dissolution is an exceptional measure</w:t>
      </w:r>
      <w:r w:rsidR="63368DDD" w:rsidRPr="33D87F2B">
        <w:rPr>
          <w:lang w:val="en-US"/>
        </w:rPr>
        <w:t>,</w:t>
      </w:r>
      <w:r w:rsidRPr="33D87F2B">
        <w:rPr>
          <w:lang w:val="en-US"/>
        </w:rPr>
        <w:t xml:space="preserve"> and para. 45 </w:t>
      </w:r>
      <w:r w:rsidR="63368DDD" w:rsidRPr="33D87F2B">
        <w:rPr>
          <w:lang w:val="en-US"/>
        </w:rPr>
        <w:t xml:space="preserve">which </w:t>
      </w:r>
      <w:r w:rsidRPr="33D87F2B">
        <w:rPr>
          <w:lang w:val="en-US"/>
        </w:rPr>
        <w:t>refers to dissolution as an extreme measure</w:t>
      </w:r>
      <w:r w:rsidR="63368DDD" w:rsidRPr="33D87F2B">
        <w:rPr>
          <w:lang w:val="en-US"/>
        </w:rPr>
        <w:t>.</w:t>
      </w:r>
      <w:r w:rsidRPr="33D87F2B">
        <w:rPr>
          <w:lang w:val="en-US"/>
        </w:rPr>
        <w:t xml:space="preserve"> </w:t>
      </w:r>
      <w:r w:rsidR="63368DDD" w:rsidRPr="33D87F2B">
        <w:rPr>
          <w:lang w:val="en-US"/>
        </w:rPr>
        <w:t xml:space="preserve"> W</w:t>
      </w:r>
      <w:r w:rsidRPr="33D87F2B">
        <w:rPr>
          <w:lang w:val="en-US"/>
        </w:rPr>
        <w:t>e are concerned that involuntary dissolution of an association is provided as an example while discussing effective remedies without noting its severity</w:t>
      </w:r>
      <w:r w:rsidR="7C3AB0DD" w:rsidRPr="33D87F2B">
        <w:rPr>
          <w:lang w:val="en-US"/>
        </w:rPr>
        <w:t xml:space="preserve"> (para. 40)</w:t>
      </w:r>
      <w:r w:rsidRPr="33D87F2B">
        <w:rPr>
          <w:lang w:val="en-US"/>
        </w:rPr>
        <w:t>. This paragraph should at least mention that involuntary dissolution is a drastic measure (see also ‎§</w:t>
      </w:r>
      <w:r w:rsidR="00EC313B" w:rsidRPr="005B4405">
        <w:rPr>
          <w:lang w:val="en-US"/>
        </w:rPr>
        <w:fldChar w:fldCharType="begin"/>
      </w:r>
      <w:r w:rsidR="00EC313B" w:rsidRPr="005B4405">
        <w:rPr>
          <w:lang w:val="en-US"/>
        </w:rPr>
        <w:instrText xml:space="preserve"> REF _Ref232678300 \r \h </w:instrText>
      </w:r>
      <w:r w:rsidR="00EC313B" w:rsidRPr="005B4405">
        <w:rPr>
          <w:lang w:val="en-US"/>
        </w:rPr>
      </w:r>
      <w:r w:rsidR="00EC313B" w:rsidRPr="005B4405">
        <w:rPr>
          <w:lang w:val="en-US"/>
        </w:rPr>
        <w:fldChar w:fldCharType="separate"/>
      </w:r>
      <w:r w:rsidR="4F773EC1" w:rsidRPr="33D87F2B">
        <w:rPr>
          <w:lang w:val="en-US"/>
        </w:rPr>
        <w:t>‎</w:t>
      </w:r>
      <w:proofErr w:type="spellStart"/>
      <w:r w:rsidR="4F773EC1" w:rsidRPr="33D87F2B">
        <w:rPr>
          <w:lang w:val="en-US"/>
        </w:rPr>
        <w:t>D.d</w:t>
      </w:r>
      <w:proofErr w:type="spellEnd"/>
      <w:r w:rsidR="00EC313B" w:rsidRPr="005B4405">
        <w:rPr>
          <w:lang w:val="en-US"/>
        </w:rPr>
        <w:fldChar w:fldCharType="end"/>
      </w:r>
      <w:r w:rsidR="0E85A306" w:rsidRPr="33D87F2B">
        <w:rPr>
          <w:lang w:val="en-US"/>
        </w:rPr>
        <w:t xml:space="preserve"> below</w:t>
      </w:r>
      <w:r w:rsidRPr="33D87F2B">
        <w:rPr>
          <w:lang w:val="en-US"/>
        </w:rPr>
        <w:t>).</w:t>
      </w:r>
    </w:p>
    <w:p w14:paraId="3EF6ADE0" w14:textId="4073E695" w:rsidR="00D75ADD" w:rsidRPr="005B4405" w:rsidRDefault="00D75ADD" w:rsidP="00FD23D2">
      <w:pPr>
        <w:pStyle w:val="ListParagraph"/>
        <w:numPr>
          <w:ilvl w:val="1"/>
          <w:numId w:val="7"/>
        </w:numPr>
        <w:tabs>
          <w:tab w:val="left" w:pos="5364"/>
        </w:tabs>
        <w:spacing w:after="240"/>
        <w:jc w:val="both"/>
        <w:rPr>
          <w:b/>
          <w:bCs/>
          <w:lang w:val="en-US"/>
        </w:rPr>
      </w:pPr>
      <w:r w:rsidRPr="005B4405">
        <w:rPr>
          <w:b/>
          <w:bCs/>
          <w:lang w:val="en-US"/>
        </w:rPr>
        <w:t>Section V: Restrictions</w:t>
      </w:r>
    </w:p>
    <w:p w14:paraId="1FE9DCDA" w14:textId="77777777" w:rsidR="00D75ADD" w:rsidRPr="005B4405" w:rsidRDefault="00D75ADD" w:rsidP="00D75ADD">
      <w:pPr>
        <w:pStyle w:val="ListParagraph"/>
        <w:tabs>
          <w:tab w:val="left" w:pos="5364"/>
        </w:tabs>
        <w:spacing w:after="240"/>
        <w:ind w:left="1440"/>
        <w:jc w:val="both"/>
        <w:rPr>
          <w:b/>
          <w:bCs/>
          <w:lang w:val="en-US"/>
        </w:rPr>
      </w:pPr>
    </w:p>
    <w:p w14:paraId="4B6C498E" w14:textId="5363A881" w:rsidR="000D05F7" w:rsidRPr="005B4405" w:rsidRDefault="00485325" w:rsidP="00FD23D2">
      <w:pPr>
        <w:pStyle w:val="ListParagraph"/>
        <w:numPr>
          <w:ilvl w:val="2"/>
          <w:numId w:val="7"/>
        </w:numPr>
        <w:tabs>
          <w:tab w:val="left" w:pos="5364"/>
        </w:tabs>
        <w:spacing w:after="240"/>
        <w:jc w:val="both"/>
        <w:rPr>
          <w:b/>
          <w:bCs/>
          <w:lang w:val="en-US"/>
        </w:rPr>
      </w:pPr>
      <w:bookmarkStart w:id="3" w:name="_Ref232439735"/>
      <w:r w:rsidRPr="005B4405">
        <w:rPr>
          <w:b/>
          <w:bCs/>
          <w:lang w:val="en-US"/>
        </w:rPr>
        <w:t>Paragraph</w:t>
      </w:r>
      <w:r w:rsidR="00D75ADD" w:rsidRPr="005B4405">
        <w:rPr>
          <w:b/>
          <w:bCs/>
          <w:lang w:val="en-US"/>
        </w:rPr>
        <w:t>s</w:t>
      </w:r>
      <w:r w:rsidRPr="005B4405">
        <w:rPr>
          <w:b/>
          <w:bCs/>
          <w:lang w:val="en-US"/>
        </w:rPr>
        <w:t xml:space="preserve"> 43</w:t>
      </w:r>
      <w:r w:rsidR="00D75ADD" w:rsidRPr="005B4405">
        <w:rPr>
          <w:b/>
          <w:bCs/>
          <w:lang w:val="en-US"/>
        </w:rPr>
        <w:t>-44</w:t>
      </w:r>
      <w:r w:rsidRPr="005B4405">
        <w:rPr>
          <w:b/>
          <w:bCs/>
          <w:lang w:val="en-US"/>
        </w:rPr>
        <w:t>: Legality</w:t>
      </w:r>
      <w:bookmarkEnd w:id="3"/>
    </w:p>
    <w:p w14:paraId="1250841B" w14:textId="0ECC1C66" w:rsidR="00403E85" w:rsidRDefault="1B650E22" w:rsidP="00AE7803">
      <w:pPr>
        <w:tabs>
          <w:tab w:val="left" w:pos="5364"/>
        </w:tabs>
        <w:spacing w:after="240"/>
        <w:jc w:val="both"/>
        <w:rPr>
          <w:lang w:val="en-US"/>
        </w:rPr>
      </w:pPr>
      <w:r>
        <w:rPr>
          <w:lang w:val="en-US"/>
        </w:rPr>
        <w:t>We welcome that para. 15 notes “the oversight powers of the authorities must be strictly defined”. Along the same lines, p</w:t>
      </w:r>
      <w:r w:rsidR="7F3B20E8" w:rsidRPr="005B4405">
        <w:rPr>
          <w:lang w:val="en-US"/>
        </w:rPr>
        <w:t xml:space="preserve">ara. 43 should </w:t>
      </w:r>
      <w:r w:rsidR="7F3B20E8" w:rsidRPr="5363F397">
        <w:rPr>
          <w:lang w:val="en-US"/>
        </w:rPr>
        <w:t>expand on clarity and foreseeability, by noting the risks of wide discretionary authority granted to courts or administrative bodies to interfere with</w:t>
      </w:r>
      <w:r w:rsidR="6B417650">
        <w:rPr>
          <w:lang w:val="en-US"/>
        </w:rPr>
        <w:t xml:space="preserve"> the </w:t>
      </w:r>
      <w:proofErr w:type="spellStart"/>
      <w:r w:rsidR="6B417650" w:rsidRPr="5363F397">
        <w:rPr>
          <w:lang w:val="en-US"/>
        </w:rPr>
        <w:t>FoA</w:t>
      </w:r>
      <w:proofErr w:type="spellEnd"/>
      <w:r w:rsidR="6B417650" w:rsidRPr="5363F397">
        <w:rPr>
          <w:lang w:val="en-US"/>
        </w:rPr>
        <w:t xml:space="preserve"> of individuals and</w:t>
      </w:r>
      <w:r w:rsidR="7F3B20E8" w:rsidRPr="005B4405">
        <w:rPr>
          <w:lang w:val="en-US"/>
        </w:rPr>
        <w:t xml:space="preserve"> associations</w:t>
      </w:r>
      <w:r w:rsidR="6B417650">
        <w:rPr>
          <w:lang w:val="en-US"/>
        </w:rPr>
        <w:t>.</w:t>
      </w:r>
      <w:r w:rsidR="28ABE471">
        <w:rPr>
          <w:lang w:val="en-US"/>
        </w:rPr>
        <w:t xml:space="preserve"> </w:t>
      </w:r>
      <w:r w:rsidR="28ABE471" w:rsidRPr="00167D1B">
        <w:rPr>
          <w:lang w:val="en-US"/>
        </w:rPr>
        <w:t>While we welcome para. 44 expanding on strict legal certainty for criminal provisions, the General Comment should</w:t>
      </w:r>
      <w:r w:rsidR="28ABE471">
        <w:rPr>
          <w:lang w:val="en-US"/>
        </w:rPr>
        <w:t xml:space="preserve"> expand on the use of counter-terrorism frameworks in restricting </w:t>
      </w:r>
      <w:proofErr w:type="spellStart"/>
      <w:r w:rsidR="28ABE471" w:rsidRPr="5363F397">
        <w:rPr>
          <w:lang w:val="en-US"/>
        </w:rPr>
        <w:t>FoA</w:t>
      </w:r>
      <w:proofErr w:type="spellEnd"/>
      <w:r w:rsidR="28ABE471" w:rsidRPr="5363F397">
        <w:rPr>
          <w:lang w:val="en-US"/>
        </w:rPr>
        <w:t xml:space="preserve"> and</w:t>
      </w:r>
      <w:r w:rsidR="28ABE471" w:rsidRPr="00167D1B">
        <w:rPr>
          <w:lang w:val="en-US"/>
        </w:rPr>
        <w:t xml:space="preserve"> make it clear that security and anti-terrorism legislation should not be used to suppress activities aimed at the promotion and protection of human rights.</w:t>
      </w:r>
      <w:r w:rsidR="00665209" w:rsidRPr="00167D1B">
        <w:rPr>
          <w:rStyle w:val="FootnoteReference"/>
          <w:lang w:val="en-US"/>
        </w:rPr>
        <w:footnoteReference w:id="26"/>
      </w:r>
      <w:r w:rsidR="5A4C9807">
        <w:rPr>
          <w:lang w:val="en-US"/>
        </w:rPr>
        <w:t xml:space="preserve"> </w:t>
      </w:r>
      <w:r w:rsidR="5A4C9807" w:rsidRPr="005B4405">
        <w:rPr>
          <w:lang w:val="en-US"/>
        </w:rPr>
        <w:t xml:space="preserve">We </w:t>
      </w:r>
      <w:r w:rsidR="5A4C9807">
        <w:rPr>
          <w:lang w:val="en-US"/>
        </w:rPr>
        <w:t xml:space="preserve">further </w:t>
      </w:r>
      <w:r w:rsidR="5A4C9807" w:rsidRPr="005B4405">
        <w:rPr>
          <w:lang w:val="en-US"/>
        </w:rPr>
        <w:t>recommend para. 44</w:t>
      </w:r>
      <w:r w:rsidR="5A4C9807" w:rsidRPr="5363F397">
        <w:rPr>
          <w:lang w:val="en-US"/>
        </w:rPr>
        <w:t xml:space="preserve"> to clarify that a criminal conviction of an association’s executives or </w:t>
      </w:r>
      <w:r w:rsidR="5A4C9807" w:rsidRPr="003D7C42">
        <w:rPr>
          <w:lang w:val="en-US"/>
        </w:rPr>
        <w:t xml:space="preserve">members should not directly lead to the dissolution of the association. </w:t>
      </w:r>
    </w:p>
    <w:p w14:paraId="69CE91C5" w14:textId="63FFC97E" w:rsidR="009662C4" w:rsidRPr="00167D1B" w:rsidRDefault="085818EC" w:rsidP="00403E85">
      <w:pPr>
        <w:tabs>
          <w:tab w:val="left" w:pos="5364"/>
        </w:tabs>
        <w:spacing w:after="240"/>
        <w:jc w:val="both"/>
        <w:rPr>
          <w:lang w:val="en-US"/>
        </w:rPr>
      </w:pPr>
      <w:r w:rsidRPr="005B4405">
        <w:rPr>
          <w:lang w:val="en-US"/>
        </w:rPr>
        <w:t xml:space="preserve">Although involuntary dissolution is widely discussed within the scope of the third prong (necessity in a democratic society) of the triple test pertaining to restrictions over </w:t>
      </w:r>
      <w:proofErr w:type="spellStart"/>
      <w:r w:rsidRPr="5363F397">
        <w:rPr>
          <w:lang w:val="en-US"/>
        </w:rPr>
        <w:t>FoA</w:t>
      </w:r>
      <w:proofErr w:type="spellEnd"/>
      <w:r w:rsidRPr="005B4405">
        <w:rPr>
          <w:lang w:val="en-US"/>
        </w:rPr>
        <w:t xml:space="preserve"> (see </w:t>
      </w:r>
      <w:r w:rsidRPr="005B4405">
        <w:rPr>
          <w:lang w:val="en-US"/>
        </w:rPr>
        <w:lastRenderedPageBreak/>
        <w:t>§</w:t>
      </w:r>
      <w:r w:rsidR="005D12E1" w:rsidRPr="005B4405">
        <w:rPr>
          <w:lang w:val="en-US"/>
        </w:rPr>
        <w:fldChar w:fldCharType="begin"/>
      </w:r>
      <w:r w:rsidR="005D12E1" w:rsidRPr="005B4405">
        <w:rPr>
          <w:lang w:val="en-US"/>
        </w:rPr>
        <w:instrText xml:space="preserve"> REF _Ref232678300 \r \h </w:instrText>
      </w:r>
      <w:r w:rsidR="005D12E1" w:rsidRPr="005B4405">
        <w:rPr>
          <w:lang w:val="en-US"/>
        </w:rPr>
      </w:r>
      <w:r w:rsidR="005D12E1" w:rsidRPr="005B4405">
        <w:rPr>
          <w:lang w:val="en-US"/>
        </w:rPr>
        <w:fldChar w:fldCharType="separate"/>
      </w:r>
      <w:r w:rsidR="28ABE471" w:rsidRPr="5363F397">
        <w:rPr>
          <w:cs/>
          <w:lang w:val="en-US"/>
        </w:rPr>
        <w:t>‎</w:t>
      </w:r>
      <w:r w:rsidR="28ABE471">
        <w:rPr>
          <w:lang w:val="en-US"/>
        </w:rPr>
        <w:t>d</w:t>
      </w:r>
      <w:r w:rsidR="005D12E1" w:rsidRPr="005B4405">
        <w:rPr>
          <w:lang w:val="en-US"/>
        </w:rPr>
        <w:fldChar w:fldCharType="end"/>
      </w:r>
      <w:r w:rsidRPr="005B4405">
        <w:rPr>
          <w:lang w:val="en-US"/>
        </w:rPr>
        <w:t>), a legality discussion is warranted</w:t>
      </w:r>
      <w:r w:rsidR="7F3B20E8" w:rsidRPr="005B4405">
        <w:rPr>
          <w:lang w:val="en-US"/>
        </w:rPr>
        <w:t xml:space="preserve"> with regards to involuntary dissolution per se</w:t>
      </w:r>
      <w:r w:rsidR="6B417650">
        <w:rPr>
          <w:lang w:val="en-US"/>
        </w:rPr>
        <w:t xml:space="preserve"> – </w:t>
      </w:r>
      <w:r w:rsidR="6B417650" w:rsidRPr="005B4405">
        <w:rPr>
          <w:lang w:val="en-US"/>
        </w:rPr>
        <w:t>the gravest form of interference possible</w:t>
      </w:r>
      <w:r w:rsidR="6B417650">
        <w:rPr>
          <w:lang w:val="en-US"/>
        </w:rPr>
        <w:t xml:space="preserve"> against an association, which</w:t>
      </w:r>
      <w:r w:rsidR="6B417650" w:rsidRPr="005B4405">
        <w:rPr>
          <w:lang w:val="en-US"/>
        </w:rPr>
        <w:t xml:space="preserve"> continues to be regularly resorted to by States to stifle dissent.</w:t>
      </w:r>
      <w:r w:rsidR="00403E85" w:rsidRPr="005B4405">
        <w:rPr>
          <w:rStyle w:val="FootnoteReference"/>
          <w:lang w:val="en-US"/>
        </w:rPr>
        <w:footnoteReference w:id="27"/>
      </w:r>
      <w:r w:rsidR="6B417650">
        <w:rPr>
          <w:lang w:val="en-US"/>
        </w:rPr>
        <w:t xml:space="preserve"> </w:t>
      </w:r>
      <w:r w:rsidR="4EB089FC">
        <w:rPr>
          <w:lang w:val="en-US"/>
        </w:rPr>
        <w:t>For instance, t</w:t>
      </w:r>
      <w:r w:rsidR="645D0607" w:rsidRPr="005B4405">
        <w:rPr>
          <w:lang w:val="en-US"/>
        </w:rPr>
        <w:t>he European Court of Human Rights previously found the Swiss Civil Code’s Article 78, providing that “Dissolution shall be ordered by the court, at the request of the competent authority or an interested party, where the association’s purpose is unlawful or immoral,” passes the legality test</w:t>
      </w:r>
      <w:r w:rsidR="4EB089FC">
        <w:rPr>
          <w:lang w:val="en-US"/>
        </w:rPr>
        <w:t>.</w:t>
      </w:r>
      <w:r w:rsidR="00292B7E" w:rsidRPr="005B4405">
        <w:rPr>
          <w:rStyle w:val="FootnoteReference"/>
          <w:lang w:val="en-US"/>
        </w:rPr>
        <w:footnoteReference w:id="28"/>
      </w:r>
      <w:r w:rsidR="3A70A3B8" w:rsidRPr="005B4405">
        <w:rPr>
          <w:lang w:val="en-US"/>
        </w:rPr>
        <w:t xml:space="preserve"> </w:t>
      </w:r>
      <w:r w:rsidRPr="005B4405">
        <w:rPr>
          <w:lang w:val="en-US"/>
        </w:rPr>
        <w:t>In the same case, t</w:t>
      </w:r>
      <w:r w:rsidR="0419D0F5" w:rsidRPr="005B4405">
        <w:rPr>
          <w:lang w:val="en-US"/>
        </w:rPr>
        <w:t xml:space="preserve">he Court found a violation of Article 11 of the Convention on the grounds that dissolution was disproportionate. </w:t>
      </w:r>
      <w:r w:rsidR="4865FFA2" w:rsidRPr="005B4405">
        <w:rPr>
          <w:lang w:val="en-US"/>
        </w:rPr>
        <w:t>The Turkish Civil Code, which adopts the Swiss one as a model, includes a near-identical provision.</w:t>
      </w:r>
      <w:r w:rsidR="00E956DB" w:rsidRPr="005B4405">
        <w:rPr>
          <w:rStyle w:val="FootnoteReference"/>
          <w:lang w:val="en-US"/>
        </w:rPr>
        <w:footnoteReference w:id="29"/>
      </w:r>
      <w:r w:rsidR="587DD04C" w:rsidRPr="005B4405">
        <w:rPr>
          <w:lang w:val="en-US"/>
        </w:rPr>
        <w:t xml:space="preserve"> Numerous dissolution cases filed against associations advocating for the rights of women, Kurds, LGBT</w:t>
      </w:r>
      <w:r w:rsidR="488E5FD1" w:rsidRPr="5363F397">
        <w:rPr>
          <w:lang w:val="en-US"/>
        </w:rPr>
        <w:t>Q</w:t>
      </w:r>
      <w:r w:rsidR="587DD04C" w:rsidRPr="5363F397">
        <w:rPr>
          <w:lang w:val="en-US"/>
        </w:rPr>
        <w:t xml:space="preserve">I+ people and children in </w:t>
      </w:r>
      <w:r w:rsidR="6779F457" w:rsidRPr="5363F397">
        <w:rPr>
          <w:lang w:val="en-US"/>
        </w:rPr>
        <w:t>Türkiye</w:t>
      </w:r>
      <w:r w:rsidR="587DD04C" w:rsidRPr="5363F397">
        <w:rPr>
          <w:lang w:val="en-US"/>
        </w:rPr>
        <w:t xml:space="preserve"> under this provision demonstrates that this provision is neither clear nor foreseeable. </w:t>
      </w:r>
      <w:r w:rsidR="1B650E22" w:rsidRPr="5363F397">
        <w:rPr>
          <w:lang w:val="en-US"/>
        </w:rPr>
        <w:t>C</w:t>
      </w:r>
      <w:r w:rsidR="587DD04C" w:rsidRPr="5363F397">
        <w:rPr>
          <w:lang w:val="en-US"/>
        </w:rPr>
        <w:t>ases have been filed for minor breaches</w:t>
      </w:r>
      <w:r w:rsidR="01C0C3FB" w:rsidRPr="5363F397">
        <w:rPr>
          <w:lang w:val="en-US"/>
        </w:rPr>
        <w:t xml:space="preserve"> of administrative reporting obligations as well as due to the activities of the association itself under </w:t>
      </w:r>
      <w:r w:rsidR="1B650E22" w:rsidRPr="5363F397">
        <w:rPr>
          <w:lang w:val="en-US"/>
        </w:rPr>
        <w:t>“terrorism” or “immorality” allegations</w:t>
      </w:r>
      <w:r w:rsidR="01C0C3FB" w:rsidRPr="5363F397">
        <w:rPr>
          <w:lang w:val="en-US"/>
        </w:rPr>
        <w:t>, effectively using dissolution cases to silence associations and deter other civil society actors</w:t>
      </w:r>
      <w:r w:rsidR="70CAE31B" w:rsidRPr="5363F397">
        <w:rPr>
          <w:lang w:val="en-US"/>
        </w:rPr>
        <w:t xml:space="preserve"> (see also ‎§</w:t>
      </w:r>
      <w:r w:rsidR="000F2F59" w:rsidRPr="005B4405">
        <w:rPr>
          <w:lang w:val="en-US"/>
        </w:rPr>
        <w:fldChar w:fldCharType="begin"/>
      </w:r>
      <w:r w:rsidR="000F2F59" w:rsidRPr="005B4405">
        <w:rPr>
          <w:lang w:val="en-US"/>
        </w:rPr>
        <w:instrText xml:space="preserve"> REF _Ref232685507 \r \h </w:instrText>
      </w:r>
      <w:r w:rsidR="000F2F59" w:rsidRPr="005B4405">
        <w:rPr>
          <w:lang w:val="en-US"/>
        </w:rPr>
      </w:r>
      <w:r w:rsidR="000F2F59" w:rsidRPr="005B4405">
        <w:rPr>
          <w:lang w:val="en-US"/>
        </w:rPr>
        <w:fldChar w:fldCharType="separate"/>
      </w:r>
      <w:r w:rsidR="28ABE471" w:rsidRPr="5363F397">
        <w:rPr>
          <w:lang w:val="en-US"/>
        </w:rPr>
        <w:t>‎c</w:t>
      </w:r>
      <w:r w:rsidR="000F2F59" w:rsidRPr="005B4405">
        <w:rPr>
          <w:lang w:val="en-US"/>
        </w:rPr>
        <w:fldChar w:fldCharType="end"/>
      </w:r>
      <w:r w:rsidR="70CAE31B" w:rsidRPr="5363F397">
        <w:rPr>
          <w:lang w:val="en-US"/>
        </w:rPr>
        <w:t>)</w:t>
      </w:r>
      <w:r w:rsidR="01C0C3FB" w:rsidRPr="5363F397">
        <w:rPr>
          <w:lang w:val="en-US"/>
        </w:rPr>
        <w:t xml:space="preserve">. </w:t>
      </w:r>
      <w:r w:rsidR="66B0BD83" w:rsidRPr="5363F397">
        <w:rPr>
          <w:lang w:val="en-US"/>
        </w:rPr>
        <w:t>Moreover, dissolution cases are based on</w:t>
      </w:r>
      <w:r w:rsidR="35819062" w:rsidRPr="5363F397">
        <w:rPr>
          <w:lang w:val="en-US"/>
        </w:rPr>
        <w:t xml:space="preserve"> </w:t>
      </w:r>
      <w:r w:rsidR="28ABE471" w:rsidRPr="5363F397">
        <w:rPr>
          <w:lang w:val="en-US"/>
        </w:rPr>
        <w:t>politically motivated</w:t>
      </w:r>
      <w:r w:rsidR="35819062" w:rsidRPr="5363F397">
        <w:rPr>
          <w:lang w:val="en-US"/>
        </w:rPr>
        <w:t xml:space="preserve"> government audits and the ensuing</w:t>
      </w:r>
      <w:r w:rsidR="66B0BD83" w:rsidRPr="5363F397">
        <w:rPr>
          <w:lang w:val="en-US"/>
        </w:rPr>
        <w:t xml:space="preserve"> inspection reports prepared by the </w:t>
      </w:r>
      <w:r w:rsidR="28ABE471" w:rsidRPr="5363F397">
        <w:rPr>
          <w:lang w:val="en-US"/>
        </w:rPr>
        <w:t>executive</w:t>
      </w:r>
      <w:r w:rsidR="66B0BD83" w:rsidRPr="5363F397">
        <w:rPr>
          <w:lang w:val="en-US"/>
        </w:rPr>
        <w:t xml:space="preserve">, which alongside the wide discretionary power awarded to courts, can easily lead to an association’s dissolution especially in countries such as </w:t>
      </w:r>
      <w:r w:rsidR="6779F457" w:rsidRPr="5363F397">
        <w:rPr>
          <w:lang w:val="en-US"/>
        </w:rPr>
        <w:t>Türkiye</w:t>
      </w:r>
      <w:r w:rsidR="66B0BD83" w:rsidRPr="5363F397">
        <w:rPr>
          <w:lang w:val="en-US"/>
        </w:rPr>
        <w:t xml:space="preserve"> where judicial independence and rule of law have eroded significantly.</w:t>
      </w:r>
    </w:p>
    <w:p w14:paraId="2758F1E6" w14:textId="6895F2DA" w:rsidR="005B2D27" w:rsidRPr="005B4405" w:rsidRDefault="5AA541AB" w:rsidP="00AD768B">
      <w:pPr>
        <w:tabs>
          <w:tab w:val="left" w:pos="5364"/>
        </w:tabs>
        <w:spacing w:after="240"/>
        <w:jc w:val="both"/>
        <w:rPr>
          <w:lang w:val="en-US"/>
        </w:rPr>
      </w:pPr>
      <w:r w:rsidRPr="00167D1B">
        <w:rPr>
          <w:lang w:val="en-US"/>
        </w:rPr>
        <w:lastRenderedPageBreak/>
        <w:t xml:space="preserve">Similarly, </w:t>
      </w:r>
      <w:r w:rsidRPr="5363F397">
        <w:rPr>
          <w:lang w:val="en-US"/>
        </w:rPr>
        <w:t>vague and broad definitions of “terrorism” continue to be arbitrarily applied against individuals and associations, seeking to conceal the ulterior political motive of suppressing dissent and human rights advocacy.</w:t>
      </w:r>
      <w:r w:rsidR="42B4A298" w:rsidRPr="00167D1B">
        <w:rPr>
          <w:lang w:val="en-US"/>
        </w:rPr>
        <w:t xml:space="preserve"> </w:t>
      </w:r>
      <w:r w:rsidR="25C92B93">
        <w:rPr>
          <w:lang w:val="en-US"/>
        </w:rPr>
        <w:t>“</w:t>
      </w:r>
      <w:r w:rsidR="25C92B93" w:rsidRPr="00C92D30">
        <w:rPr>
          <w:lang w:val="en-US"/>
        </w:rPr>
        <w:t xml:space="preserve">In </w:t>
      </w:r>
      <w:r w:rsidR="005B2D27" w:rsidRPr="5363F397">
        <w:rPr>
          <w:lang w:val="en-US"/>
        </w:rPr>
        <w:t>Turkey</w:t>
      </w:r>
      <w:r w:rsidR="08ABDBD3" w:rsidRPr="5363F397">
        <w:rPr>
          <w:lang w:val="en-US"/>
        </w:rPr>
        <w:t>,</w:t>
      </w:r>
      <w:r w:rsidR="25C92B93" w:rsidRPr="5363F397">
        <w:rPr>
          <w:lang w:val="en-US"/>
        </w:rPr>
        <w:t xml:space="preserve"> people who did not commit any deadly or otherwise serious violence against individuals can be considered to have committed a terrorist offense, can be criminalized as terrorists, and can be subjected to a special trial and enforcement regime specific to this merely because they expressed their opinions that were not embraced by the political power or the official view on account of this definition.”</w:t>
      </w:r>
      <w:r w:rsidR="005B2D27" w:rsidRPr="5363F397">
        <w:rPr>
          <w:rStyle w:val="FootnoteReference"/>
          <w:lang w:val="en-US"/>
        </w:rPr>
        <w:footnoteReference w:id="30"/>
      </w:r>
      <w:r w:rsidR="25C92B93" w:rsidRPr="5363F397">
        <w:rPr>
          <w:lang w:val="en-US"/>
        </w:rPr>
        <w:t xml:space="preserve"> </w:t>
      </w:r>
      <w:r w:rsidR="08ABDBD3" w:rsidRPr="5363F397">
        <w:rPr>
          <w:lang w:val="en-US"/>
        </w:rPr>
        <w:t xml:space="preserve">The risk of harassment is greater when the opinions or actions are part of the advocacy of an association. </w:t>
      </w:r>
      <w:r w:rsidR="798A70A2" w:rsidRPr="5363F397">
        <w:rPr>
          <w:lang w:val="en-US"/>
        </w:rPr>
        <w:t>A recent example is the amendments concerning association legislation</w:t>
      </w:r>
      <w:r w:rsidR="28ABE471" w:rsidRPr="5363F397">
        <w:rPr>
          <w:lang w:val="en-US"/>
        </w:rPr>
        <w:t xml:space="preserve"> that</w:t>
      </w:r>
      <w:r w:rsidR="5A4C9807" w:rsidRPr="5363F397">
        <w:rPr>
          <w:lang w:val="en-US"/>
        </w:rPr>
        <w:t xml:space="preserve"> severely restrict </w:t>
      </w:r>
      <w:proofErr w:type="spellStart"/>
      <w:r w:rsidR="5A4C9807" w:rsidRPr="5363F397">
        <w:rPr>
          <w:lang w:val="en-US"/>
        </w:rPr>
        <w:t>FoA</w:t>
      </w:r>
      <w:proofErr w:type="spellEnd"/>
      <w:r w:rsidR="798A70A2" w:rsidRPr="5363F397">
        <w:rPr>
          <w:lang w:val="en-US"/>
        </w:rPr>
        <w:t xml:space="preserve">, purportedly to comply with the Financial Action Task Force’s </w:t>
      </w:r>
      <w:r w:rsidR="230B5A8A" w:rsidRPr="5363F397">
        <w:rPr>
          <w:lang w:val="en-US"/>
        </w:rPr>
        <w:t>Recommendation No. 8 to protect non-profit organizations from the abuse of terrorist financing, which has had a negative impact on civic space across the globe.</w:t>
      </w:r>
      <w:r w:rsidR="005B2D27" w:rsidRPr="5363F397">
        <w:rPr>
          <w:rStyle w:val="FootnoteReference"/>
          <w:lang w:val="en-US"/>
        </w:rPr>
        <w:footnoteReference w:id="31"/>
      </w:r>
      <w:r w:rsidR="230B5A8A" w:rsidRPr="5363F397">
        <w:rPr>
          <w:lang w:val="en-US"/>
        </w:rPr>
        <w:t xml:space="preserve"> </w:t>
      </w:r>
    </w:p>
    <w:p w14:paraId="1533CF6C" w14:textId="565FAF36" w:rsidR="002208C2" w:rsidRPr="005B4405" w:rsidRDefault="00824D1B" w:rsidP="009662C4">
      <w:pPr>
        <w:tabs>
          <w:tab w:val="left" w:pos="5364"/>
        </w:tabs>
        <w:spacing w:after="240"/>
        <w:jc w:val="both"/>
        <w:rPr>
          <w:lang w:val="en-US"/>
        </w:rPr>
      </w:pPr>
      <w:r w:rsidRPr="005B4405">
        <w:rPr>
          <w:lang w:val="en-US"/>
        </w:rPr>
        <w:t>Th</w:t>
      </w:r>
      <w:r w:rsidR="000C3F42">
        <w:rPr>
          <w:lang w:val="en-US"/>
        </w:rPr>
        <w:t>ese</w:t>
      </w:r>
      <w:r w:rsidRPr="005B4405">
        <w:rPr>
          <w:lang w:val="en-US"/>
        </w:rPr>
        <w:t xml:space="preserve"> example</w:t>
      </w:r>
      <w:r w:rsidR="000C3F42">
        <w:rPr>
          <w:lang w:val="en-US"/>
        </w:rPr>
        <w:t>s</w:t>
      </w:r>
      <w:r w:rsidRPr="005B4405">
        <w:rPr>
          <w:lang w:val="en-US"/>
        </w:rPr>
        <w:t xml:space="preserve"> demonstrate that the “prescribed by law” requirement’s clarity and foreseeability</w:t>
      </w:r>
      <w:r w:rsidR="00AD768B">
        <w:rPr>
          <w:lang w:val="en-US"/>
        </w:rPr>
        <w:t xml:space="preserve"> elements</w:t>
      </w:r>
      <w:r w:rsidRPr="005B4405">
        <w:rPr>
          <w:lang w:val="en-US"/>
        </w:rPr>
        <w:t xml:space="preserve"> should be </w:t>
      </w:r>
      <w:r w:rsidR="006D6F0E" w:rsidRPr="005B4405">
        <w:rPr>
          <w:lang w:val="en-US"/>
        </w:rPr>
        <w:t>evaluated</w:t>
      </w:r>
      <w:r w:rsidR="00AF2E28" w:rsidRPr="005B4405">
        <w:rPr>
          <w:lang w:val="en-US"/>
        </w:rPr>
        <w:t xml:space="preserve"> </w:t>
      </w:r>
      <w:proofErr w:type="gramStart"/>
      <w:r w:rsidR="00AF2E28" w:rsidRPr="005B4405">
        <w:rPr>
          <w:lang w:val="en-US"/>
        </w:rPr>
        <w:t>in light of</w:t>
      </w:r>
      <w:proofErr w:type="gramEnd"/>
      <w:r w:rsidR="00AF2E28" w:rsidRPr="005B4405">
        <w:rPr>
          <w:lang w:val="en-US"/>
        </w:rPr>
        <w:t xml:space="preserve"> anti-democratic backlash</w:t>
      </w:r>
      <w:r w:rsidR="00AD768B">
        <w:rPr>
          <w:lang w:val="en-US"/>
        </w:rPr>
        <w:t xml:space="preserve"> and the rise of authoritarianism</w:t>
      </w:r>
      <w:r w:rsidR="00AF2E28" w:rsidRPr="005B4405">
        <w:rPr>
          <w:lang w:val="en-US"/>
        </w:rPr>
        <w:t xml:space="preserve"> globally, which has emboldened States to rely on vaguely worded laws to clamp down on dissenters. Coupled with </w:t>
      </w:r>
      <w:r w:rsidR="002208C2" w:rsidRPr="005B4405">
        <w:rPr>
          <w:lang w:val="en-US"/>
        </w:rPr>
        <w:t xml:space="preserve">lack of independence of the judiciary, </w:t>
      </w:r>
      <w:r w:rsidR="005B44A7" w:rsidRPr="005B4405">
        <w:rPr>
          <w:lang w:val="en-US"/>
        </w:rPr>
        <w:t xml:space="preserve">meaning lack of effective remedies, </w:t>
      </w:r>
      <w:r w:rsidR="002208C2" w:rsidRPr="005B4405">
        <w:rPr>
          <w:lang w:val="en-US"/>
        </w:rPr>
        <w:t xml:space="preserve">these laws provide the basis to unjustly restrict </w:t>
      </w:r>
      <w:proofErr w:type="spellStart"/>
      <w:r w:rsidR="002208C2" w:rsidRPr="005B4405">
        <w:rPr>
          <w:lang w:val="en-US"/>
        </w:rPr>
        <w:t>FoA</w:t>
      </w:r>
      <w:proofErr w:type="spellEnd"/>
      <w:r w:rsidR="005B44A7" w:rsidRPr="005B4405">
        <w:rPr>
          <w:lang w:val="en-US"/>
        </w:rPr>
        <w:t>.</w:t>
      </w:r>
      <w:r w:rsidR="005B4405" w:rsidRPr="005B4405">
        <w:rPr>
          <w:lang w:val="en-US"/>
        </w:rPr>
        <w:t xml:space="preserve"> </w:t>
      </w:r>
    </w:p>
    <w:p w14:paraId="493835DD" w14:textId="5865E52F" w:rsidR="00B5379B" w:rsidRPr="003D7C42" w:rsidRDefault="00B5379B" w:rsidP="00FD23D2">
      <w:pPr>
        <w:pStyle w:val="ListParagraph"/>
        <w:numPr>
          <w:ilvl w:val="2"/>
          <w:numId w:val="7"/>
        </w:numPr>
        <w:tabs>
          <w:tab w:val="left" w:pos="5364"/>
        </w:tabs>
        <w:spacing w:after="240"/>
        <w:jc w:val="both"/>
        <w:rPr>
          <w:b/>
          <w:bCs/>
          <w:lang w:val="en-US"/>
        </w:rPr>
      </w:pPr>
      <w:r w:rsidRPr="003D7C42">
        <w:rPr>
          <w:b/>
          <w:bCs/>
          <w:lang w:val="en-US"/>
        </w:rPr>
        <w:t>Paragraphs 45-46: Legitimate Grounds for Restriction</w:t>
      </w:r>
    </w:p>
    <w:p w14:paraId="043F6B7C" w14:textId="245CAF32" w:rsidR="005B0DF3" w:rsidRPr="003D7C42" w:rsidRDefault="5AA541AB" w:rsidP="00FF4629">
      <w:pPr>
        <w:tabs>
          <w:tab w:val="left" w:pos="5364"/>
        </w:tabs>
        <w:spacing w:after="240"/>
        <w:jc w:val="both"/>
        <w:rPr>
          <w:lang w:val="en-US"/>
        </w:rPr>
      </w:pPr>
      <w:r>
        <w:rPr>
          <w:lang w:val="en-US"/>
        </w:rPr>
        <w:t xml:space="preserve">The General Comment should </w:t>
      </w:r>
      <w:r w:rsidR="1AA38A35">
        <w:rPr>
          <w:lang w:val="en-US"/>
        </w:rPr>
        <w:t xml:space="preserve">emphasize that the right to access and communicate with international bodies, protected under the right to freedom of expression and interrelated with the </w:t>
      </w:r>
      <w:proofErr w:type="spellStart"/>
      <w:r w:rsidR="1AA38A35">
        <w:rPr>
          <w:lang w:val="en-US"/>
        </w:rPr>
        <w:t>FoA</w:t>
      </w:r>
      <w:proofErr w:type="spellEnd"/>
      <w:r w:rsidR="1AA38A35">
        <w:rPr>
          <w:lang w:val="en-US"/>
        </w:rPr>
        <w:t xml:space="preserve">, </w:t>
      </w:r>
      <w:r w:rsidR="08ABDBD3">
        <w:rPr>
          <w:lang w:val="en-US"/>
        </w:rPr>
        <w:t>cannot be restricted for motives such as national sovereignty.</w:t>
      </w:r>
      <w:r w:rsidR="005B0DF3">
        <w:rPr>
          <w:rStyle w:val="FootnoteReference"/>
          <w:lang w:val="en-US"/>
        </w:rPr>
        <w:footnoteReference w:id="32"/>
      </w:r>
      <w:r w:rsidR="08ABDBD3">
        <w:rPr>
          <w:lang w:val="en-US"/>
        </w:rPr>
        <w:t xml:space="preserve"> </w:t>
      </w:r>
      <w:r w:rsidR="1AA38A35">
        <w:rPr>
          <w:lang w:val="en-US"/>
        </w:rPr>
        <w:t>Reprisals against individuals and associations for communicating with international bodies</w:t>
      </w:r>
      <w:r w:rsidR="14D9D55B">
        <w:rPr>
          <w:lang w:val="en-US"/>
        </w:rPr>
        <w:t xml:space="preserve">, including </w:t>
      </w:r>
      <w:r w:rsidR="663BC50C">
        <w:rPr>
          <w:lang w:val="en-US"/>
        </w:rPr>
        <w:t xml:space="preserve">for </w:t>
      </w:r>
      <w:r w:rsidR="14D9D55B">
        <w:rPr>
          <w:lang w:val="en-US"/>
        </w:rPr>
        <w:t xml:space="preserve">cooperation with the UN, </w:t>
      </w:r>
      <w:r w:rsidR="663BC50C">
        <w:rPr>
          <w:lang w:val="en-US"/>
        </w:rPr>
        <w:t>such as</w:t>
      </w:r>
      <w:r w:rsidR="14D9D55B">
        <w:rPr>
          <w:lang w:val="en-US"/>
        </w:rPr>
        <w:t xml:space="preserve"> intimidation, threats, physical and digital attacks, arbitrary detention, torture, and killings</w:t>
      </w:r>
      <w:r w:rsidR="08ABDBD3">
        <w:rPr>
          <w:lang w:val="en-US"/>
        </w:rPr>
        <w:t xml:space="preserve">, remain widespread yet at the same time </w:t>
      </w:r>
      <w:r w:rsidR="08ABDBD3" w:rsidRPr="003D7C42">
        <w:rPr>
          <w:lang w:val="en-US"/>
        </w:rPr>
        <w:t>underreported</w:t>
      </w:r>
      <w:r w:rsidR="06122FC5" w:rsidRPr="003D7C42">
        <w:rPr>
          <w:lang w:val="en-US"/>
        </w:rPr>
        <w:t>.</w:t>
      </w:r>
      <w:r w:rsidR="00D3208E" w:rsidRPr="003D7C42">
        <w:rPr>
          <w:rStyle w:val="FootnoteReference"/>
          <w:lang w:val="en-US"/>
        </w:rPr>
        <w:footnoteReference w:id="33"/>
      </w:r>
      <w:r w:rsidR="06122FC5" w:rsidRPr="003D7C42">
        <w:rPr>
          <w:lang w:val="en-US"/>
        </w:rPr>
        <w:t xml:space="preserve"> </w:t>
      </w:r>
    </w:p>
    <w:p w14:paraId="36B9F67A" w14:textId="61A9C6B0" w:rsidR="00D75ADD" w:rsidRPr="003D7C42" w:rsidRDefault="00D75ADD" w:rsidP="00FD23D2">
      <w:pPr>
        <w:pStyle w:val="ListParagraph"/>
        <w:numPr>
          <w:ilvl w:val="2"/>
          <w:numId w:val="7"/>
        </w:numPr>
        <w:tabs>
          <w:tab w:val="left" w:pos="5364"/>
        </w:tabs>
        <w:spacing w:after="240"/>
        <w:jc w:val="both"/>
        <w:rPr>
          <w:b/>
          <w:bCs/>
          <w:lang w:val="en-US"/>
        </w:rPr>
      </w:pPr>
      <w:bookmarkStart w:id="4" w:name="_Ref232685507"/>
      <w:r w:rsidRPr="003D7C42">
        <w:rPr>
          <w:b/>
          <w:bCs/>
          <w:lang w:val="en-US"/>
        </w:rPr>
        <w:t>Paragraph 48: Public Morality as a Legitimate Ground</w:t>
      </w:r>
      <w:bookmarkEnd w:id="4"/>
    </w:p>
    <w:p w14:paraId="5278FAAA" w14:textId="193CA476" w:rsidR="00CF1279" w:rsidRPr="005B4405" w:rsidRDefault="011DBC78" w:rsidP="008704AD">
      <w:pPr>
        <w:tabs>
          <w:tab w:val="left" w:pos="5364"/>
        </w:tabs>
        <w:spacing w:after="240"/>
        <w:jc w:val="both"/>
        <w:rPr>
          <w:lang w:val="en-US"/>
        </w:rPr>
      </w:pPr>
      <w:r>
        <w:rPr>
          <w:lang w:val="en-US"/>
        </w:rPr>
        <w:t xml:space="preserve">We welcome that para. 48 touches upon the most prominent examples of discriminatory restrictions of </w:t>
      </w:r>
      <w:proofErr w:type="spellStart"/>
      <w:r w:rsidRPr="5363F397">
        <w:rPr>
          <w:lang w:val="en-US"/>
        </w:rPr>
        <w:t>FoA</w:t>
      </w:r>
      <w:proofErr w:type="spellEnd"/>
      <w:r w:rsidRPr="5363F397">
        <w:rPr>
          <w:lang w:val="en-US"/>
        </w:rPr>
        <w:t xml:space="preserve"> under morality grounds. We suggest strengthening the sentence by deleting “seen as” and stating these are discriminatory restrictions.</w:t>
      </w:r>
      <w:r>
        <w:rPr>
          <w:lang w:val="en-US"/>
        </w:rPr>
        <w:t xml:space="preserve"> </w:t>
      </w:r>
      <w:r w:rsidR="35819062">
        <w:rPr>
          <w:lang w:val="en-US"/>
        </w:rPr>
        <w:t xml:space="preserve">Similar to anti-terrorism </w:t>
      </w:r>
      <w:r w:rsidR="35819062">
        <w:rPr>
          <w:lang w:val="en-US"/>
        </w:rPr>
        <w:lastRenderedPageBreak/>
        <w:t>frameworks, public morality laws are increasingly used to target LGBTI+ and women’s rights defenders and associations, as well as others -such as human rights and children’s rights organizations- that adopt an inclusive gender equality perspective in their work.</w:t>
      </w:r>
      <w:r w:rsidR="003D7C42">
        <w:rPr>
          <w:rStyle w:val="FootnoteReference"/>
          <w:lang w:val="en-US"/>
        </w:rPr>
        <w:footnoteReference w:id="34"/>
      </w:r>
      <w:r w:rsidR="35819062">
        <w:rPr>
          <w:lang w:val="en-US"/>
        </w:rPr>
        <w:t xml:space="preserve"> </w:t>
      </w:r>
      <w:r w:rsidR="591F49D0">
        <w:rPr>
          <w:lang w:val="en-US"/>
        </w:rPr>
        <w:t>Most recently, the Young LGBT</w:t>
      </w:r>
      <w:r w:rsidR="591F49D0" w:rsidRPr="5363F397">
        <w:rPr>
          <w:lang w:val="en-US"/>
        </w:rPr>
        <w:t xml:space="preserve">I+ Association in </w:t>
      </w:r>
      <w:r w:rsidR="6779F457" w:rsidRPr="5363F397">
        <w:rPr>
          <w:lang w:val="en-US"/>
        </w:rPr>
        <w:t>Türkiye</w:t>
      </w:r>
      <w:r w:rsidR="591F49D0" w:rsidRPr="5363F397">
        <w:rPr>
          <w:lang w:val="en-US"/>
        </w:rPr>
        <w:t xml:space="preserve"> was shut down by a court order and its executives are undergoing a criminal trial for sharing illustrations on the association’s social media account; the dissolution decision was based on </w:t>
      </w:r>
      <w:r w:rsidRPr="5363F397">
        <w:rPr>
          <w:lang w:val="en-US"/>
        </w:rPr>
        <w:t xml:space="preserve">obscenity allegations under </w:t>
      </w:r>
      <w:r w:rsidR="591F49D0" w:rsidRPr="5363F397">
        <w:rPr>
          <w:lang w:val="en-US"/>
        </w:rPr>
        <w:t>the public morality clause in the Turkish Civil Code (see the comments on legality above, ‎§</w:t>
      </w:r>
      <w:r w:rsidR="00BE5FE9">
        <w:rPr>
          <w:lang w:val="en-US"/>
        </w:rPr>
        <w:fldChar w:fldCharType="begin"/>
      </w:r>
      <w:r w:rsidR="00BE5FE9">
        <w:rPr>
          <w:lang w:val="en-US"/>
        </w:rPr>
        <w:instrText xml:space="preserve"> REF _Ref232439735 \r \h </w:instrText>
      </w:r>
      <w:r w:rsidR="00BE5FE9">
        <w:rPr>
          <w:lang w:val="en-US"/>
        </w:rPr>
      </w:r>
      <w:r w:rsidR="00BE5FE9">
        <w:rPr>
          <w:lang w:val="en-US"/>
        </w:rPr>
        <w:fldChar w:fldCharType="separate"/>
      </w:r>
      <w:r w:rsidR="28ABE471" w:rsidRPr="5363F397">
        <w:rPr>
          <w:lang w:val="en-US"/>
        </w:rPr>
        <w:t>‎a</w:t>
      </w:r>
      <w:r w:rsidR="00BE5FE9">
        <w:rPr>
          <w:lang w:val="en-US"/>
        </w:rPr>
        <w:fldChar w:fldCharType="end"/>
      </w:r>
      <w:r w:rsidR="64A1EBCC" w:rsidRPr="5363F397">
        <w:rPr>
          <w:lang w:val="en-US"/>
        </w:rPr>
        <w:t>).</w:t>
      </w:r>
      <w:r w:rsidR="00CF1279" w:rsidRPr="5363F397">
        <w:rPr>
          <w:rStyle w:val="FootnoteReference"/>
          <w:lang w:val="en-US"/>
        </w:rPr>
        <w:footnoteReference w:id="35"/>
      </w:r>
      <w:r w:rsidR="591F49D0" w:rsidRPr="5363F397">
        <w:rPr>
          <w:lang w:val="en-US"/>
        </w:rPr>
        <w:t xml:space="preserve"> </w:t>
      </w:r>
      <w:r w:rsidR="710E025E" w:rsidRPr="5363F397">
        <w:rPr>
          <w:lang w:val="en-US"/>
        </w:rPr>
        <w:t xml:space="preserve">In addition to the reference to the rights to discrimination and equality before the law, the General Comment should clearly emphasize that </w:t>
      </w:r>
      <w:r w:rsidR="4FA74BAC" w:rsidRPr="5363F397">
        <w:rPr>
          <w:lang w:val="en-US"/>
        </w:rPr>
        <w:t>the grounds for restriction, particularly public morality and public health,</w:t>
      </w:r>
      <w:r w:rsidR="710E025E" w:rsidRPr="5363F397">
        <w:rPr>
          <w:lang w:val="en-US"/>
        </w:rPr>
        <w:t xml:space="preserve"> cannot be used to restrict the </w:t>
      </w:r>
      <w:proofErr w:type="spellStart"/>
      <w:r w:rsidR="710E025E" w:rsidRPr="5363F397">
        <w:rPr>
          <w:lang w:val="en-US"/>
        </w:rPr>
        <w:t>FoA</w:t>
      </w:r>
      <w:proofErr w:type="spellEnd"/>
      <w:r w:rsidR="710E025E" w:rsidRPr="5363F397">
        <w:rPr>
          <w:lang w:val="en-US"/>
        </w:rPr>
        <w:t xml:space="preserve"> of a group directly in violation of</w:t>
      </w:r>
      <w:r w:rsidR="4FA74BAC" w:rsidRPr="5363F397">
        <w:rPr>
          <w:lang w:val="en-US"/>
        </w:rPr>
        <w:t xml:space="preserve"> the rights to discrimination and equality before the law.</w:t>
      </w:r>
      <w:r w:rsidR="00CF1279" w:rsidRPr="5363F397">
        <w:rPr>
          <w:rStyle w:val="FootnoteReference"/>
          <w:lang w:val="en-US"/>
        </w:rPr>
        <w:footnoteReference w:id="36"/>
      </w:r>
    </w:p>
    <w:p w14:paraId="12F3BDB8" w14:textId="6A016CDF" w:rsidR="00D75ADD" w:rsidRPr="005B4405" w:rsidRDefault="00D75ADD" w:rsidP="00FD23D2">
      <w:pPr>
        <w:pStyle w:val="ListParagraph"/>
        <w:numPr>
          <w:ilvl w:val="2"/>
          <w:numId w:val="7"/>
        </w:numPr>
        <w:tabs>
          <w:tab w:val="left" w:pos="5364"/>
        </w:tabs>
        <w:spacing w:after="240"/>
        <w:jc w:val="both"/>
        <w:rPr>
          <w:b/>
          <w:bCs/>
          <w:lang w:val="en-US"/>
        </w:rPr>
      </w:pPr>
      <w:bookmarkStart w:id="5" w:name="_Ref232678300"/>
      <w:r w:rsidRPr="005B4405">
        <w:rPr>
          <w:b/>
          <w:bCs/>
          <w:lang w:val="en-US"/>
        </w:rPr>
        <w:t>Paragraph 50: Proportionality</w:t>
      </w:r>
      <w:bookmarkEnd w:id="5"/>
    </w:p>
    <w:p w14:paraId="2E6EA06A" w14:textId="35D15E0E" w:rsidR="001F331C" w:rsidRPr="005B4405" w:rsidRDefault="0407E872" w:rsidP="001F331C">
      <w:pPr>
        <w:tabs>
          <w:tab w:val="left" w:pos="5364"/>
        </w:tabs>
        <w:spacing w:after="240"/>
        <w:jc w:val="both"/>
        <w:rPr>
          <w:lang w:val="en-US"/>
        </w:rPr>
      </w:pPr>
      <w:r w:rsidRPr="005B4405">
        <w:rPr>
          <w:lang w:val="en-US"/>
        </w:rPr>
        <w:t>We</w:t>
      </w:r>
      <w:r w:rsidR="1FBE37D1" w:rsidRPr="005B4405">
        <w:rPr>
          <w:lang w:val="en-US"/>
        </w:rPr>
        <w:t xml:space="preserve"> recommend </w:t>
      </w:r>
      <w:r w:rsidR="1FBE37D1" w:rsidRPr="5363F397">
        <w:rPr>
          <w:lang w:val="en-US"/>
        </w:rPr>
        <w:t>expanding on proportionality</w:t>
      </w:r>
      <w:r w:rsidR="5F0F1AF3" w:rsidRPr="005B4405">
        <w:rPr>
          <w:lang w:val="en-US"/>
        </w:rPr>
        <w:t>, especially with regards to involuntary dissolution</w:t>
      </w:r>
      <w:r w:rsidR="1FBE37D1" w:rsidRPr="005B4405">
        <w:rPr>
          <w:lang w:val="en-US"/>
        </w:rPr>
        <w:t xml:space="preserve">. </w:t>
      </w:r>
      <w:r w:rsidR="430B868B" w:rsidRPr="005B4405">
        <w:rPr>
          <w:lang w:val="en-US"/>
        </w:rPr>
        <w:t>We</w:t>
      </w:r>
      <w:r w:rsidRPr="005B4405">
        <w:rPr>
          <w:lang w:val="en-US"/>
        </w:rPr>
        <w:t xml:space="preserve"> </w:t>
      </w:r>
      <w:r w:rsidRPr="5363F397">
        <w:rPr>
          <w:lang w:val="en-US"/>
        </w:rPr>
        <w:t>urge the addition of a clear sentence</w:t>
      </w:r>
      <w:r w:rsidR="29AAA5FD" w:rsidRPr="005B4405">
        <w:rPr>
          <w:lang w:val="en-US"/>
        </w:rPr>
        <w:t xml:space="preserve"> to para. 50</w:t>
      </w:r>
      <w:r w:rsidRPr="005B4405">
        <w:rPr>
          <w:lang w:val="en-US"/>
        </w:rPr>
        <w:t xml:space="preserve"> </w:t>
      </w:r>
      <w:r w:rsidRPr="5363F397">
        <w:rPr>
          <w:lang w:val="en-US"/>
        </w:rPr>
        <w:t xml:space="preserve">indicating that the involuntary dissolution of an association should be a </w:t>
      </w:r>
      <w:r w:rsidR="29AAA5FD" w:rsidRPr="5363F397">
        <w:rPr>
          <w:i/>
          <w:iCs/>
          <w:lang w:val="en-US"/>
        </w:rPr>
        <w:t xml:space="preserve">measure of </w:t>
      </w:r>
      <w:r w:rsidRPr="5363F397">
        <w:rPr>
          <w:i/>
          <w:iCs/>
          <w:lang w:val="en-US"/>
        </w:rPr>
        <w:t>last resort</w:t>
      </w:r>
      <w:r w:rsidRPr="005B4405">
        <w:rPr>
          <w:lang w:val="en-US"/>
        </w:rPr>
        <w:t xml:space="preserve">, applied only in the </w:t>
      </w:r>
      <w:r w:rsidRPr="5363F397">
        <w:rPr>
          <w:i/>
          <w:iCs/>
          <w:lang w:val="en-US"/>
        </w:rPr>
        <w:t>most</w:t>
      </w:r>
      <w:r w:rsidRPr="005B4405">
        <w:rPr>
          <w:lang w:val="en-US"/>
        </w:rPr>
        <w:t xml:space="preserve"> extreme cases</w:t>
      </w:r>
      <w:r w:rsidR="367382FE" w:rsidRPr="005B4405">
        <w:rPr>
          <w:lang w:val="en-US"/>
        </w:rPr>
        <w:t xml:space="preserve">, </w:t>
      </w:r>
      <w:r w:rsidR="1FBE37D1" w:rsidRPr="005B4405">
        <w:rPr>
          <w:lang w:val="en-US"/>
        </w:rPr>
        <w:t xml:space="preserve">such as a clear and imminent threat of violence that cannot be addressed by </w:t>
      </w:r>
      <w:r w:rsidR="69618ADD" w:rsidRPr="005B4405">
        <w:rPr>
          <w:lang w:val="en-US"/>
        </w:rPr>
        <w:t>less severe</w:t>
      </w:r>
      <w:r w:rsidR="1FBE37D1" w:rsidRPr="005B4405">
        <w:rPr>
          <w:lang w:val="en-US"/>
        </w:rPr>
        <w:t xml:space="preserve"> measures</w:t>
      </w:r>
      <w:r w:rsidRPr="005B4405">
        <w:rPr>
          <w:lang w:val="en-US"/>
        </w:rPr>
        <w:t>.</w:t>
      </w:r>
      <w:r w:rsidR="00AE174F" w:rsidRPr="005B4405">
        <w:rPr>
          <w:rStyle w:val="FootnoteReference"/>
          <w:lang w:val="en-US"/>
        </w:rPr>
        <w:footnoteReference w:id="37"/>
      </w:r>
      <w:r w:rsidRPr="005B4405">
        <w:rPr>
          <w:lang w:val="en-US"/>
        </w:rPr>
        <w:t xml:space="preserve"> </w:t>
      </w:r>
      <w:r w:rsidR="617F1893" w:rsidRPr="005B4405">
        <w:rPr>
          <w:lang w:val="en-US"/>
        </w:rPr>
        <w:t xml:space="preserve">Associations should always be provided with the opportunity to rectify the situation first. </w:t>
      </w:r>
      <w:r w:rsidRPr="005B4405">
        <w:rPr>
          <w:lang w:val="en-US"/>
        </w:rPr>
        <w:t xml:space="preserve">We also recommend </w:t>
      </w:r>
      <w:r w:rsidR="1FBE37D1" w:rsidRPr="005B4405">
        <w:rPr>
          <w:lang w:val="en-US"/>
        </w:rPr>
        <w:t>mentioning</w:t>
      </w:r>
      <w:r w:rsidRPr="005B4405">
        <w:rPr>
          <w:lang w:val="en-US"/>
        </w:rPr>
        <w:t xml:space="preserve"> that any measure amounting to the same effect as a dissolution</w:t>
      </w:r>
      <w:r w:rsidR="29AAA5FD" w:rsidRPr="005B4405">
        <w:rPr>
          <w:lang w:val="en-US"/>
        </w:rPr>
        <w:t xml:space="preserve"> </w:t>
      </w:r>
      <w:r w:rsidR="1FBE37D1" w:rsidRPr="005B4405">
        <w:rPr>
          <w:lang w:val="en-US"/>
        </w:rPr>
        <w:t xml:space="preserve">shall </w:t>
      </w:r>
      <w:r w:rsidR="69618ADD" w:rsidRPr="005B4405">
        <w:rPr>
          <w:lang w:val="en-US"/>
        </w:rPr>
        <w:t>necessitate</w:t>
      </w:r>
      <w:r w:rsidR="29AAA5FD" w:rsidRPr="005B4405">
        <w:rPr>
          <w:lang w:val="en-US"/>
        </w:rPr>
        <w:t xml:space="preserve"> the same</w:t>
      </w:r>
      <w:r w:rsidR="69618ADD" w:rsidRPr="005B4405">
        <w:rPr>
          <w:lang w:val="en-US"/>
        </w:rPr>
        <w:t xml:space="preserve"> level of</w:t>
      </w:r>
      <w:r w:rsidR="29AAA5FD" w:rsidRPr="005B4405">
        <w:rPr>
          <w:lang w:val="en-US"/>
        </w:rPr>
        <w:t xml:space="preserve"> scrutiny.</w:t>
      </w:r>
      <w:r w:rsidR="367382FE" w:rsidRPr="005B4405">
        <w:rPr>
          <w:lang w:val="en-US"/>
        </w:rPr>
        <w:t xml:space="preserve"> </w:t>
      </w:r>
      <w:r w:rsidR="3B0ADD4C" w:rsidRPr="005B4405">
        <w:rPr>
          <w:lang w:val="en-US"/>
        </w:rPr>
        <w:t xml:space="preserve">The General Comment should </w:t>
      </w:r>
      <w:r w:rsidR="3B0ADD4C" w:rsidRPr="5363F397">
        <w:rPr>
          <w:lang w:val="en-US"/>
        </w:rPr>
        <w:t>indicate that less radical alternative sanctions should be introduced into domestic law to provide flexibility in responding to less grave breaches of law by associations</w:t>
      </w:r>
      <w:r w:rsidR="2646EDD8" w:rsidRPr="005B4405">
        <w:rPr>
          <w:lang w:val="en-US"/>
        </w:rPr>
        <w:t xml:space="preserve">. </w:t>
      </w:r>
      <w:r w:rsidR="587DD04C" w:rsidRPr="005B4405">
        <w:rPr>
          <w:lang w:val="en-US"/>
        </w:rPr>
        <w:t xml:space="preserve">It should also </w:t>
      </w:r>
      <w:r w:rsidR="587DD04C" w:rsidRPr="5363F397">
        <w:rPr>
          <w:lang w:val="en-US"/>
        </w:rPr>
        <w:t>state that the mere filing of a dissolution case, regardless of its outcome, can lead to a chilling effect.</w:t>
      </w:r>
    </w:p>
    <w:p w14:paraId="5D00DBEA" w14:textId="410CCD7D" w:rsidR="008B7E69" w:rsidRPr="005B4405" w:rsidRDefault="008B7E69" w:rsidP="001F331C">
      <w:pPr>
        <w:tabs>
          <w:tab w:val="left" w:pos="5364"/>
        </w:tabs>
        <w:spacing w:after="240"/>
        <w:jc w:val="both"/>
        <w:rPr>
          <w:lang w:val="en-US"/>
        </w:rPr>
      </w:pPr>
    </w:p>
    <w:sectPr w:rsidR="008B7E69" w:rsidRPr="005B4405" w:rsidSect="0030719E">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1693" w14:textId="77777777" w:rsidR="00FD5AD2" w:rsidRDefault="00FD5AD2" w:rsidP="00B94D00">
      <w:r>
        <w:separator/>
      </w:r>
    </w:p>
  </w:endnote>
  <w:endnote w:type="continuationSeparator" w:id="0">
    <w:p w14:paraId="6F59ED4E" w14:textId="77777777" w:rsidR="00FD5AD2" w:rsidRDefault="00FD5AD2" w:rsidP="00B9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093609"/>
      <w:docPartObj>
        <w:docPartGallery w:val="Page Numbers (Bottom of Page)"/>
        <w:docPartUnique/>
      </w:docPartObj>
    </w:sdtPr>
    <w:sdtEndPr>
      <w:rPr>
        <w:rStyle w:val="PageNumber"/>
      </w:rPr>
    </w:sdtEndPr>
    <w:sdtContent>
      <w:p w14:paraId="7729E81D" w14:textId="60C27451" w:rsidR="0030719E" w:rsidRDefault="0030719E" w:rsidP="00A700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67B8D1" w14:textId="77777777" w:rsidR="0030719E" w:rsidRDefault="00307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809608"/>
      <w:docPartObj>
        <w:docPartGallery w:val="Page Numbers (Bottom of Page)"/>
        <w:docPartUnique/>
      </w:docPartObj>
    </w:sdtPr>
    <w:sdtEndPr>
      <w:rPr>
        <w:rStyle w:val="PageNumber"/>
      </w:rPr>
    </w:sdtEndPr>
    <w:sdtContent>
      <w:p w14:paraId="7459FAC3" w14:textId="65E97981" w:rsidR="0030719E" w:rsidRDefault="0030719E" w:rsidP="00A700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8884C3" w14:textId="77777777" w:rsidR="0030719E" w:rsidRDefault="00307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B8AE" w14:textId="77777777" w:rsidR="00FD5AD2" w:rsidRDefault="00FD5AD2" w:rsidP="00B94D00">
      <w:r>
        <w:separator/>
      </w:r>
    </w:p>
  </w:footnote>
  <w:footnote w:type="continuationSeparator" w:id="0">
    <w:p w14:paraId="4ED2FD3B" w14:textId="77777777" w:rsidR="00FD5AD2" w:rsidRDefault="00FD5AD2" w:rsidP="00B94D00">
      <w:r>
        <w:continuationSeparator/>
      </w:r>
    </w:p>
  </w:footnote>
  <w:footnote w:id="1">
    <w:p w14:paraId="6A2C526B" w14:textId="4153ADFE" w:rsidR="00906F10" w:rsidRPr="00075BAC" w:rsidRDefault="00906F10">
      <w:pPr>
        <w:pStyle w:val="FootnoteText"/>
        <w:rPr>
          <w:lang w:val="en-US"/>
        </w:rPr>
      </w:pPr>
      <w:r w:rsidRPr="00075BAC">
        <w:rPr>
          <w:rStyle w:val="FootnoteReference"/>
          <w:lang w:val="en-US"/>
        </w:rPr>
        <w:footnoteRef/>
      </w:r>
      <w:r w:rsidRPr="00075BAC">
        <w:rPr>
          <w:lang w:val="en-US"/>
        </w:rPr>
        <w:t xml:space="preserve"> For further information, see </w:t>
      </w:r>
      <w:hyperlink r:id="rId1" w:history="1">
        <w:r w:rsidRPr="00075BAC">
          <w:rPr>
            <w:rStyle w:val="Hyperlink"/>
            <w:lang w:val="en-US"/>
          </w:rPr>
          <w:t>https://euromedrights.org/about/</w:t>
        </w:r>
      </w:hyperlink>
      <w:r w:rsidRPr="00075BAC">
        <w:rPr>
          <w:lang w:val="en-US"/>
        </w:rPr>
        <w:t xml:space="preserve">. </w:t>
      </w:r>
    </w:p>
  </w:footnote>
  <w:footnote w:id="2">
    <w:p w14:paraId="5A50CAB2" w14:textId="18E0F5B8" w:rsidR="00811D99" w:rsidRPr="00075BAC" w:rsidRDefault="00811D99">
      <w:pPr>
        <w:pStyle w:val="FootnoteText"/>
        <w:rPr>
          <w:lang w:val="en-US"/>
        </w:rPr>
      </w:pPr>
      <w:r w:rsidRPr="00075BAC">
        <w:rPr>
          <w:rStyle w:val="FootnoteReference"/>
          <w:lang w:val="en-US"/>
        </w:rPr>
        <w:footnoteRef/>
      </w:r>
      <w:r w:rsidR="5363F397" w:rsidRPr="00075BAC">
        <w:rPr>
          <w:lang w:val="en-US"/>
        </w:rPr>
        <w:t xml:space="preserve"> For further information, see </w:t>
      </w:r>
      <w:hyperlink r:id="rId2" w:history="1">
        <w:r w:rsidR="5363F397" w:rsidRPr="5363F397">
          <w:rPr>
            <w:rStyle w:val="Hyperlink"/>
            <w:lang w:val="en-US"/>
          </w:rPr>
          <w:t>https://euromedrights.org/news-</w:t>
        </w:r>
        <w:r w:rsidRPr="5363F397">
          <w:rPr>
            <w:rStyle w:val="Hyperlink"/>
            <w:lang w:val="en-US"/>
          </w:rPr>
          <w:t>turkey</w:t>
        </w:r>
        <w:r w:rsidR="5363F397" w:rsidRPr="5363F397">
          <w:rPr>
            <w:rStyle w:val="Hyperlink"/>
            <w:lang w:val="en-US"/>
          </w:rPr>
          <w:t>/</w:t>
        </w:r>
      </w:hyperlink>
      <w:r w:rsidR="5363F397" w:rsidRPr="5363F397">
        <w:rPr>
          <w:lang w:val="en-US"/>
        </w:rPr>
        <w:t xml:space="preserve">. </w:t>
      </w:r>
    </w:p>
  </w:footnote>
  <w:footnote w:id="3">
    <w:p w14:paraId="56CA2814" w14:textId="082399FF" w:rsidR="00473D59" w:rsidRPr="00075BAC" w:rsidRDefault="00473D59" w:rsidP="000A7754">
      <w:pPr>
        <w:pStyle w:val="FootnoteText"/>
        <w:rPr>
          <w:lang w:val="en-US"/>
        </w:rPr>
      </w:pPr>
      <w:r w:rsidRPr="00075BAC">
        <w:rPr>
          <w:rStyle w:val="FootnoteReference"/>
          <w:lang w:val="en-US"/>
        </w:rPr>
        <w:footnoteRef/>
      </w:r>
      <w:r w:rsidRPr="00075BAC">
        <w:rPr>
          <w:lang w:val="en-US"/>
        </w:rPr>
        <w:t xml:space="preserve"> Report of the Special Rapporteur on the rights to freedom of peaceful assembly and of association, Clément Nyaletsossi Voule, </w:t>
      </w:r>
      <w:r w:rsidR="000A7754" w:rsidRPr="00075BAC">
        <w:rPr>
          <w:lang w:val="en-US"/>
        </w:rPr>
        <w:t>Preserving the gains and pushing back against the global attack on civic space and growing authoritarianism, A/HRC/56/50, 13 September 2024.</w:t>
      </w:r>
    </w:p>
  </w:footnote>
  <w:footnote w:id="4">
    <w:p w14:paraId="525A2CF9" w14:textId="11ED3490" w:rsidR="00473D59" w:rsidRPr="00075BAC" w:rsidRDefault="00473D59" w:rsidP="00473D59">
      <w:pPr>
        <w:pStyle w:val="FootnoteText"/>
        <w:rPr>
          <w:lang w:val="en-US"/>
        </w:rPr>
      </w:pPr>
      <w:r w:rsidRPr="00075BAC">
        <w:rPr>
          <w:rStyle w:val="FootnoteReference"/>
          <w:lang w:val="en-US"/>
        </w:rPr>
        <w:footnoteRef/>
      </w:r>
      <w:r w:rsidRPr="00075BAC">
        <w:rPr>
          <w:lang w:val="en-US"/>
        </w:rPr>
        <w:t xml:space="preserve"> Report of the Special Rapporteur on the rights to freedom of peaceful assembly and of association, Gina Romero, Freedom of assembly and association rights, collective action and human solidarity facing an existential threat, A/80/219, 22 July 2025</w:t>
      </w:r>
      <w:r w:rsidR="000A7754" w:rsidRPr="00075BAC">
        <w:rPr>
          <w:lang w:val="en-US"/>
        </w:rPr>
        <w:t>.</w:t>
      </w:r>
    </w:p>
  </w:footnote>
  <w:footnote w:id="5">
    <w:p w14:paraId="2C58DDC9" w14:textId="22B8C617" w:rsidR="00D62AAE" w:rsidRPr="00075BAC" w:rsidRDefault="00D62AAE" w:rsidP="00D62AAE">
      <w:pPr>
        <w:pStyle w:val="FootnoteText"/>
        <w:rPr>
          <w:lang w:val="en-US"/>
        </w:rPr>
      </w:pPr>
      <w:r w:rsidRPr="00075BAC">
        <w:rPr>
          <w:rStyle w:val="FootnoteReference"/>
          <w:lang w:val="en-US"/>
        </w:rPr>
        <w:footnoteRef/>
      </w:r>
      <w:r w:rsidRPr="00075BAC">
        <w:rPr>
          <w:lang w:val="en-US"/>
        </w:rPr>
        <w:t xml:space="preserve"> UN General Assembly, Declaration on the Right and Responsibility of Individuals, Groups and Organs of Society to Promote and Protect Universally Recognized Human Rights and Fundamental Freedoms, A/RES/53/144, 8 March 1999.</w:t>
      </w:r>
    </w:p>
  </w:footnote>
  <w:footnote w:id="6">
    <w:p w14:paraId="1D6BAE2A" w14:textId="460027AC" w:rsidR="007E0A29" w:rsidRPr="00075BAC" w:rsidRDefault="007E0A29">
      <w:pPr>
        <w:pStyle w:val="FootnoteText"/>
        <w:rPr>
          <w:lang w:val="en-US"/>
        </w:rPr>
      </w:pPr>
      <w:r w:rsidRPr="00075BAC">
        <w:rPr>
          <w:rStyle w:val="FootnoteReference"/>
          <w:lang w:val="en-US"/>
        </w:rPr>
        <w:footnoteRef/>
      </w:r>
      <w:r w:rsidRPr="00075BAC">
        <w:rPr>
          <w:lang w:val="en-US"/>
        </w:rPr>
        <w:t xml:space="preserve"> Report of the Special Rapporteur </w:t>
      </w:r>
      <w:proofErr w:type="gramStart"/>
      <w:r w:rsidRPr="00075BAC">
        <w:rPr>
          <w:lang w:val="en-US"/>
        </w:rPr>
        <w:t>on the situation of</w:t>
      </w:r>
      <w:proofErr w:type="gramEnd"/>
      <w:r w:rsidRPr="00075BAC">
        <w:rPr>
          <w:lang w:val="en-US"/>
        </w:rPr>
        <w:t xml:space="preserve"> human rights defenders, A/64/226, 4 August 2009, para. 57.</w:t>
      </w:r>
    </w:p>
  </w:footnote>
  <w:footnote w:id="7">
    <w:p w14:paraId="02D8FD78" w14:textId="47ACB3B4" w:rsidR="00533647" w:rsidRPr="00075BAC" w:rsidRDefault="00533647">
      <w:pPr>
        <w:pStyle w:val="FootnoteText"/>
        <w:rPr>
          <w:lang w:val="en-US"/>
        </w:rPr>
      </w:pPr>
      <w:r w:rsidRPr="00075BAC">
        <w:rPr>
          <w:rStyle w:val="FootnoteReference"/>
          <w:lang w:val="en-US"/>
        </w:rPr>
        <w:footnoteRef/>
      </w:r>
      <w:r w:rsidRPr="00075BAC">
        <w:rPr>
          <w:lang w:val="en-US"/>
        </w:rPr>
        <w:t xml:space="preserve"> OHCHR, Human Rights Defenders: Protecting the Right to Defend Human Rights, Fact Sheet No. 29.</w:t>
      </w:r>
    </w:p>
  </w:footnote>
  <w:footnote w:id="8">
    <w:p w14:paraId="7E816B42" w14:textId="2499FCA9" w:rsidR="00B24329" w:rsidRPr="00075BAC" w:rsidRDefault="00B24329">
      <w:pPr>
        <w:pStyle w:val="FootnoteText"/>
        <w:rPr>
          <w:lang w:val="en-US"/>
        </w:rPr>
      </w:pPr>
      <w:r w:rsidRPr="00075BAC">
        <w:rPr>
          <w:rStyle w:val="FootnoteReference"/>
          <w:lang w:val="en-US"/>
        </w:rPr>
        <w:footnoteRef/>
      </w:r>
      <w:r w:rsidRPr="00075BAC">
        <w:rPr>
          <w:lang w:val="en-US"/>
        </w:rPr>
        <w:t xml:space="preserve"> Front Line Defenders, Global Analysis </w:t>
      </w:r>
      <w:r w:rsidR="00B70C42" w:rsidRPr="00075BAC">
        <w:rPr>
          <w:lang w:val="en-US"/>
        </w:rPr>
        <w:t xml:space="preserve">2024/25, 6 May 2025, </w:t>
      </w:r>
      <w:hyperlink r:id="rId3" w:history="1">
        <w:r w:rsidR="00B70C42" w:rsidRPr="00075BAC">
          <w:rPr>
            <w:rStyle w:val="Hyperlink"/>
            <w:lang w:val="en-US"/>
          </w:rPr>
          <w:t>https://www.frontlinedefenders.org/en/resource-publication/global-analysis-202425</w:t>
        </w:r>
      </w:hyperlink>
      <w:r w:rsidR="00B70C42" w:rsidRPr="00075BAC">
        <w:rPr>
          <w:lang w:val="en-US"/>
        </w:rPr>
        <w:t xml:space="preserve">;  Front Line Defenders, Global Analysis 2025/26, 15 </w:t>
      </w:r>
      <w:r w:rsidR="006E7C31" w:rsidRPr="00075BAC">
        <w:rPr>
          <w:lang w:val="en-US"/>
        </w:rPr>
        <w:t>June 2026,</w:t>
      </w:r>
      <w:r w:rsidR="00B70C42" w:rsidRPr="00075BAC">
        <w:rPr>
          <w:lang w:val="en-US"/>
        </w:rPr>
        <w:t xml:space="preserve"> </w:t>
      </w:r>
      <w:hyperlink r:id="rId4" w:history="1">
        <w:r w:rsidR="00B70C42" w:rsidRPr="00075BAC">
          <w:rPr>
            <w:rStyle w:val="Hyperlink"/>
            <w:lang w:val="en-US"/>
          </w:rPr>
          <w:t>https://www.frontlinedefenders.org/en/global-analysis-202526-hrd-memorial-list-and-killings-hrds</w:t>
        </w:r>
      </w:hyperlink>
      <w:r w:rsidR="00B70C42" w:rsidRPr="00075BAC">
        <w:rPr>
          <w:lang w:val="en-US"/>
        </w:rPr>
        <w:t xml:space="preserve">. </w:t>
      </w:r>
    </w:p>
  </w:footnote>
  <w:footnote w:id="9">
    <w:p w14:paraId="1D8EBA06" w14:textId="77777777" w:rsidR="00227F9E" w:rsidRPr="00075BAC" w:rsidRDefault="00227F9E" w:rsidP="00227F9E">
      <w:pPr>
        <w:pStyle w:val="FootnoteText"/>
        <w:rPr>
          <w:lang w:val="en-US"/>
        </w:rPr>
      </w:pPr>
      <w:r w:rsidRPr="00075BAC">
        <w:rPr>
          <w:rStyle w:val="FootnoteReference"/>
          <w:lang w:val="en-US"/>
        </w:rPr>
        <w:footnoteRef/>
      </w:r>
      <w:r w:rsidRPr="00075BAC">
        <w:rPr>
          <w:lang w:val="en-US"/>
        </w:rPr>
        <w:t xml:space="preserve"> Report by the Special Rapporteur on the rights to freedom of peaceful assembly and of association, Maina Kiai, A/HRC/20/27, 21 May 2012, para. 54.</w:t>
      </w:r>
    </w:p>
  </w:footnote>
  <w:footnote w:id="10">
    <w:p w14:paraId="4202595A" w14:textId="799DFB3D" w:rsidR="00690D6D" w:rsidRPr="00075BAC" w:rsidRDefault="00690D6D" w:rsidP="00FB7DC1">
      <w:pPr>
        <w:pStyle w:val="FootnoteText"/>
        <w:rPr>
          <w:lang w:val="en-US"/>
        </w:rPr>
      </w:pPr>
      <w:r w:rsidRPr="00075BAC">
        <w:rPr>
          <w:rStyle w:val="FootnoteReference"/>
          <w:lang w:val="en-US"/>
        </w:rPr>
        <w:footnoteRef/>
      </w:r>
      <w:r w:rsidRPr="00075BAC">
        <w:rPr>
          <w:lang w:val="en-US"/>
        </w:rPr>
        <w:t xml:space="preserve"> </w:t>
      </w:r>
      <w:r w:rsidR="00FB7DC1" w:rsidRPr="00075BAC">
        <w:rPr>
          <w:lang w:val="en-US"/>
        </w:rPr>
        <w:t>Report of the Special Rapporteur on the rights to freedom of peaceful assembly and of association, Gina Romero, A/79/263, 31 July 2024.</w:t>
      </w:r>
    </w:p>
  </w:footnote>
  <w:footnote w:id="11">
    <w:p w14:paraId="641B26E1" w14:textId="4959E5EA" w:rsidR="5363F397" w:rsidRDefault="5363F397" w:rsidP="001126A7">
      <w:pPr>
        <w:pStyle w:val="FootnoteText"/>
      </w:pPr>
      <w:r w:rsidRPr="5363F397">
        <w:rPr>
          <w:rStyle w:val="FootnoteReference"/>
        </w:rPr>
        <w:footnoteRef/>
      </w:r>
      <w:r>
        <w:t xml:space="preserve"> Mandates of the Special Rapporteur </w:t>
      </w:r>
      <w:proofErr w:type="gramStart"/>
      <w:r>
        <w:t>on the situation of</w:t>
      </w:r>
      <w:proofErr w:type="gramEnd"/>
      <w:r>
        <w:t xml:space="preserve"> human rights defenders (Mary Lawlor) et al., Press Release Special Procedures, UN experts urge Türkiye to end criminalisation of human rights defenders and lawyers, 31 March 2026.</w:t>
      </w:r>
    </w:p>
  </w:footnote>
  <w:footnote w:id="12">
    <w:p w14:paraId="1A30038A" w14:textId="724B9DC6" w:rsidR="00AC6ECF" w:rsidRPr="00075BAC" w:rsidRDefault="00AC6ECF">
      <w:pPr>
        <w:pStyle w:val="FootnoteText"/>
        <w:rPr>
          <w:lang w:val="en-US"/>
        </w:rPr>
      </w:pPr>
      <w:r w:rsidRPr="00075BAC">
        <w:rPr>
          <w:rStyle w:val="FootnoteReference"/>
          <w:lang w:val="en-US"/>
        </w:rPr>
        <w:footnoteRef/>
      </w:r>
      <w:r w:rsidRPr="00075BAC">
        <w:rPr>
          <w:lang w:val="en-US"/>
        </w:rPr>
        <w:t xml:space="preserve"> Venice Commission, Report on Funding of Associations, CDL-</w:t>
      </w:r>
      <w:proofErr w:type="gramStart"/>
      <w:r w:rsidRPr="00075BAC">
        <w:rPr>
          <w:lang w:val="en-US"/>
        </w:rPr>
        <w:t>AD(</w:t>
      </w:r>
      <w:proofErr w:type="gramEnd"/>
      <w:r w:rsidRPr="00075BAC">
        <w:rPr>
          <w:lang w:val="en-US"/>
        </w:rPr>
        <w:t>2019)002, 18 March 2019, para. 111.</w:t>
      </w:r>
    </w:p>
  </w:footnote>
  <w:footnote w:id="13">
    <w:p w14:paraId="473BC569" w14:textId="5242C494" w:rsidR="00875107" w:rsidRDefault="00875107"/>
  </w:footnote>
  <w:footnote w:id="14">
    <w:p w14:paraId="16DF5CDD" w14:textId="450D0316" w:rsidR="00AC6ECF" w:rsidRPr="00E34824" w:rsidRDefault="00AC6ECF" w:rsidP="00E34824">
      <w:pPr>
        <w:pStyle w:val="FootnoteText"/>
        <w:rPr>
          <w:lang w:val="en-US"/>
        </w:rPr>
      </w:pPr>
      <w:r w:rsidRPr="00075BAC">
        <w:rPr>
          <w:rStyle w:val="FootnoteReference"/>
          <w:lang w:val="en-US"/>
        </w:rPr>
        <w:footnoteRef/>
      </w:r>
      <w:r w:rsidR="5363F397" w:rsidRPr="00075BAC">
        <w:rPr>
          <w:lang w:val="en-US"/>
        </w:rPr>
        <w:t xml:space="preserve"> </w:t>
      </w:r>
      <w:r w:rsidR="5363F397" w:rsidRPr="00655767">
        <w:t xml:space="preserve">Observatory for the Protection of Human Rights Defenders (a partnership of the International Federation for Human Rights-FIDH and the World Organisation against Torture -OMCT) </w:t>
      </w:r>
      <w:r w:rsidR="5363F397">
        <w:t>&amp;</w:t>
      </w:r>
      <w:r w:rsidR="5363F397" w:rsidRPr="00655767">
        <w:t xml:space="preserve"> Human Rights Association</w:t>
      </w:r>
      <w:r w:rsidR="5363F397">
        <w:t xml:space="preserve">, </w:t>
      </w:r>
      <w:r w:rsidR="5363F397" w:rsidRPr="00E34824">
        <w:t xml:space="preserve">Drowned in Procedure, Sentenced to Fail: Administrative Harassment Against Civil Society in </w:t>
      </w:r>
      <w:r>
        <w:t>Turkey</w:t>
      </w:r>
      <w:r w:rsidR="5363F397">
        <w:t xml:space="preserve">, 27 June 2022, </w:t>
      </w:r>
      <w:hyperlink r:id="rId5" w:history="1">
        <w:r w:rsidR="5363F397" w:rsidRPr="5363F397">
          <w:rPr>
            <w:rStyle w:val="Hyperlink"/>
          </w:rPr>
          <w:t>https://www.fidh.org/en/region/europe-central-asia/</w:t>
        </w:r>
        <w:r w:rsidRPr="5363F397">
          <w:rPr>
            <w:rStyle w:val="Hyperlink"/>
          </w:rPr>
          <w:t>turkey</w:t>
        </w:r>
        <w:r w:rsidR="5363F397" w:rsidRPr="5363F397">
          <w:rPr>
            <w:rStyle w:val="Hyperlink"/>
          </w:rPr>
          <w:t>/administrative-harassment-weaponised-to-silence-civil-society</w:t>
        </w:r>
      </w:hyperlink>
      <w:r w:rsidR="5363F397">
        <w:t xml:space="preserve">. </w:t>
      </w:r>
    </w:p>
  </w:footnote>
  <w:footnote w:id="15">
    <w:p w14:paraId="1936A25E" w14:textId="1500DB3A" w:rsidR="00111F53" w:rsidRPr="00075BAC" w:rsidRDefault="00111F53" w:rsidP="00AC05A3">
      <w:pPr>
        <w:pStyle w:val="FootnoteText"/>
        <w:rPr>
          <w:lang w:val="en-US"/>
        </w:rPr>
      </w:pPr>
      <w:r w:rsidRPr="00075BAC">
        <w:rPr>
          <w:rStyle w:val="FootnoteReference"/>
          <w:lang w:val="en-US"/>
        </w:rPr>
        <w:footnoteRef/>
      </w:r>
      <w:r w:rsidRPr="00075BAC">
        <w:rPr>
          <w:lang w:val="en-US"/>
        </w:rPr>
        <w:t xml:space="preserve"> </w:t>
      </w:r>
      <w:r w:rsidR="0089152C" w:rsidRPr="00075BAC">
        <w:rPr>
          <w:lang w:val="en-US"/>
        </w:rPr>
        <w:t xml:space="preserve">International Service for Human Rights, The Backlash Against Civil Society Access and Participation at the United Nations, </w:t>
      </w:r>
      <w:r w:rsidR="00C645A2" w:rsidRPr="00075BAC">
        <w:rPr>
          <w:lang w:val="en-US"/>
        </w:rPr>
        <w:t xml:space="preserve">13 March 2018, </w:t>
      </w:r>
      <w:hyperlink r:id="rId6" w:history="1">
        <w:r w:rsidR="00C645A2" w:rsidRPr="00075BAC">
          <w:rPr>
            <w:rStyle w:val="Hyperlink"/>
            <w:lang w:val="en-US"/>
          </w:rPr>
          <w:t>https://ishr.ch/toolbox/resources/csw62-as-visa-restrictions-keep-defenders-away-ishr-launches-report-on-barriers-to-participation/</w:t>
        </w:r>
      </w:hyperlink>
      <w:r w:rsidR="00C645A2" w:rsidRPr="00075BAC">
        <w:rPr>
          <w:lang w:val="en-US"/>
        </w:rPr>
        <w:t xml:space="preserve">; </w:t>
      </w:r>
      <w:r w:rsidRPr="00075BAC">
        <w:rPr>
          <w:lang w:val="en-US"/>
        </w:rPr>
        <w:t xml:space="preserve">Amnesty International, Europe: Human rights defenders excluded by discriminatory Schengen visa system, 30 October 2025, </w:t>
      </w:r>
      <w:hyperlink r:id="rId7" w:history="1">
        <w:r w:rsidRPr="00075BAC">
          <w:rPr>
            <w:rStyle w:val="Hyperlink"/>
            <w:lang w:val="en-US"/>
          </w:rPr>
          <w:t>https://www.amnesty.org/en/latest/news/2025/10/europe-human-rights-defenders-excluded-by-discriminatory-schengen-visa-system/</w:t>
        </w:r>
      </w:hyperlink>
      <w:r w:rsidRPr="00075BAC">
        <w:rPr>
          <w:lang w:val="en-US"/>
        </w:rPr>
        <w:t xml:space="preserve">. </w:t>
      </w:r>
      <w:r w:rsidR="00C645A2" w:rsidRPr="00075BAC">
        <w:rPr>
          <w:lang w:val="en-US"/>
        </w:rPr>
        <w:t xml:space="preserve">For a recent example, see Joint Statement by EuroMed Rights et al., </w:t>
      </w:r>
      <w:r w:rsidR="00AC05A3" w:rsidRPr="00075BAC">
        <w:rPr>
          <w:lang w:val="en-US"/>
        </w:rPr>
        <w:t xml:space="preserve">France: Decision to deny entry to veteran Palestinian human rights defender a blatant assault on human rights, </w:t>
      </w:r>
      <w:r w:rsidR="00865F66" w:rsidRPr="00075BAC">
        <w:rPr>
          <w:lang w:val="en-US"/>
        </w:rPr>
        <w:t xml:space="preserve">16 April 2026, </w:t>
      </w:r>
      <w:hyperlink r:id="rId8" w:history="1">
        <w:r w:rsidR="00865F66" w:rsidRPr="00075BAC">
          <w:rPr>
            <w:rStyle w:val="Hyperlink"/>
            <w:lang w:val="en-US"/>
          </w:rPr>
          <w:t>https://www.fidh.org/en/region/europe-central-asia/france/france-decision-to-deny-entry-to-veteran-palestinian-human-rights</w:t>
        </w:r>
      </w:hyperlink>
      <w:r w:rsidR="00865F66" w:rsidRPr="00075BAC">
        <w:rPr>
          <w:lang w:val="en-US"/>
        </w:rPr>
        <w:t xml:space="preserve">. </w:t>
      </w:r>
    </w:p>
  </w:footnote>
  <w:footnote w:id="16">
    <w:p w14:paraId="5F26D05B" w14:textId="1095EC03" w:rsidR="00506E22" w:rsidRPr="00075BAC" w:rsidRDefault="00506E22">
      <w:pPr>
        <w:pStyle w:val="FootnoteText"/>
        <w:rPr>
          <w:lang w:val="en-US"/>
        </w:rPr>
      </w:pPr>
      <w:r w:rsidRPr="00075BAC">
        <w:rPr>
          <w:rStyle w:val="FootnoteReference"/>
          <w:lang w:val="en-US"/>
        </w:rPr>
        <w:footnoteRef/>
      </w:r>
      <w:r w:rsidRPr="00075BAC">
        <w:rPr>
          <w:lang w:val="en-US"/>
        </w:rPr>
        <w:t xml:space="preserve"> </w:t>
      </w:r>
      <w:r w:rsidR="00B62F70" w:rsidRPr="00075BAC">
        <w:rPr>
          <w:lang w:val="en-US"/>
        </w:rPr>
        <w:t xml:space="preserve">UN Special Rapporteur </w:t>
      </w:r>
      <w:proofErr w:type="gramStart"/>
      <w:r w:rsidR="00B62F70" w:rsidRPr="00075BAC">
        <w:rPr>
          <w:lang w:val="en-US"/>
        </w:rPr>
        <w:t>on the situation of</w:t>
      </w:r>
      <w:proofErr w:type="gramEnd"/>
      <w:r w:rsidR="00B62F70" w:rsidRPr="00075BAC">
        <w:rPr>
          <w:lang w:val="en-US"/>
        </w:rPr>
        <w:t xml:space="preserve"> human rights defenders, Commentary to the Declaration on the Right and Responsibility of Individuals, Groups and Organs of Society to Promote and Protect Universally Recognized Human Rights and Fundamental Freedoms, July 2011, Chapter IV.</w:t>
      </w:r>
    </w:p>
  </w:footnote>
  <w:footnote w:id="17">
    <w:p w14:paraId="6AA5F28B" w14:textId="20D5708D" w:rsidR="00426070" w:rsidRPr="00075BAC" w:rsidRDefault="00426070" w:rsidP="002F1DF2">
      <w:pPr>
        <w:pStyle w:val="FootnoteText"/>
        <w:rPr>
          <w:lang w:val="en-US"/>
        </w:rPr>
      </w:pPr>
      <w:r w:rsidRPr="00075BAC">
        <w:rPr>
          <w:rStyle w:val="FootnoteReference"/>
          <w:lang w:val="en-US"/>
        </w:rPr>
        <w:footnoteRef/>
      </w:r>
      <w:r w:rsidRPr="00075BAC">
        <w:rPr>
          <w:lang w:val="en-US"/>
        </w:rPr>
        <w:t xml:space="preserve"> Report by the Special Rapporteur on the rights to freedom of peaceful assembly and of association, Maina Kiai, A/HRC/23/39, 24 April 2013, para. 14</w:t>
      </w:r>
      <w:r w:rsidR="0030565B" w:rsidRPr="00075BAC">
        <w:rPr>
          <w:lang w:val="en-US"/>
        </w:rPr>
        <w:t xml:space="preserve">; </w:t>
      </w:r>
      <w:r w:rsidR="002F1DF2" w:rsidRPr="00075BAC">
        <w:rPr>
          <w:lang w:val="en-US"/>
        </w:rPr>
        <w:t xml:space="preserve">see also Report of the Special Rapporteur on the rights to freedom of peaceful assembly and of association, Clément Nyaletsossi Voule, General principles and guidelines on ensuring the right of civil society organizations to have access to resources, </w:t>
      </w:r>
      <w:r w:rsidR="001E0E2F" w:rsidRPr="00075BAC">
        <w:rPr>
          <w:lang w:val="en-US"/>
        </w:rPr>
        <w:t xml:space="preserve">A/HRC/53/38/Add.4, 23 June 2023, </w:t>
      </w:r>
      <w:r w:rsidR="002F1DF2" w:rsidRPr="00075BAC">
        <w:rPr>
          <w:lang w:val="en-US"/>
        </w:rPr>
        <w:t>para. 59.</w:t>
      </w:r>
    </w:p>
  </w:footnote>
  <w:footnote w:id="18">
    <w:p w14:paraId="0EE9FC22" w14:textId="02ABDDDB" w:rsidR="008D1AAD" w:rsidRPr="00075BAC" w:rsidRDefault="008D1AAD">
      <w:pPr>
        <w:pStyle w:val="FootnoteText"/>
        <w:rPr>
          <w:lang w:val="en-US"/>
        </w:rPr>
      </w:pPr>
      <w:r w:rsidRPr="00075BAC">
        <w:rPr>
          <w:rStyle w:val="FootnoteReference"/>
          <w:lang w:val="en-US"/>
        </w:rPr>
        <w:footnoteRef/>
      </w:r>
      <w:r w:rsidRPr="00075BAC">
        <w:rPr>
          <w:lang w:val="en-US"/>
        </w:rPr>
        <w:t xml:space="preserve"> </w:t>
      </w:r>
      <w:r w:rsidR="00203B59" w:rsidRPr="00075BAC">
        <w:rPr>
          <w:lang w:val="en-US"/>
        </w:rPr>
        <w:t xml:space="preserve">A/HRC/20/27, para. </w:t>
      </w:r>
      <w:r w:rsidRPr="00075BAC">
        <w:rPr>
          <w:lang w:val="en-US"/>
        </w:rPr>
        <w:t>63.</w:t>
      </w:r>
    </w:p>
  </w:footnote>
  <w:footnote w:id="19">
    <w:p w14:paraId="5C7838E5" w14:textId="233B42CE" w:rsidR="00863180" w:rsidRPr="00075BAC" w:rsidRDefault="00863180">
      <w:pPr>
        <w:pStyle w:val="FootnoteText"/>
        <w:rPr>
          <w:lang w:val="en-US"/>
        </w:rPr>
      </w:pPr>
      <w:r w:rsidRPr="00075BAC">
        <w:rPr>
          <w:rStyle w:val="FootnoteReference"/>
          <w:lang w:val="en-US"/>
        </w:rPr>
        <w:footnoteRef/>
      </w:r>
      <w:r w:rsidRPr="00075BAC">
        <w:rPr>
          <w:lang w:val="en-US"/>
        </w:rPr>
        <w:t xml:space="preserve"> Venice Commission &amp; OSCE/ODIHR, Joint Guidelines on Freedom of Association, CDL-</w:t>
      </w:r>
      <w:proofErr w:type="gramStart"/>
      <w:r w:rsidRPr="00075BAC">
        <w:rPr>
          <w:lang w:val="en-US"/>
        </w:rPr>
        <w:t>AD(</w:t>
      </w:r>
      <w:proofErr w:type="gramEnd"/>
      <w:r w:rsidRPr="00075BAC">
        <w:rPr>
          <w:lang w:val="en-US"/>
        </w:rPr>
        <w:t>2014)046, 17 December 2014, para. 264.</w:t>
      </w:r>
    </w:p>
  </w:footnote>
  <w:footnote w:id="20">
    <w:p w14:paraId="7B210580" w14:textId="6E598BB2" w:rsidR="008173C4" w:rsidRPr="00075BAC" w:rsidRDefault="008173C4">
      <w:pPr>
        <w:pStyle w:val="FootnoteText"/>
        <w:rPr>
          <w:lang w:val="en-US"/>
        </w:rPr>
      </w:pPr>
      <w:r w:rsidRPr="00075BAC">
        <w:rPr>
          <w:rStyle w:val="FootnoteReference"/>
          <w:lang w:val="en-US"/>
        </w:rPr>
        <w:footnoteRef/>
      </w:r>
      <w:r w:rsidRPr="00075BAC">
        <w:rPr>
          <w:lang w:val="en-US"/>
        </w:rPr>
        <w:t xml:space="preserve"> </w:t>
      </w:r>
      <w:r w:rsidR="00923DE8" w:rsidRPr="00923DE8">
        <w:rPr>
          <w:lang w:val="en-US"/>
        </w:rPr>
        <w:t xml:space="preserve">Mandates of the Special Rapporteur </w:t>
      </w:r>
      <w:proofErr w:type="gramStart"/>
      <w:r w:rsidR="00923DE8" w:rsidRPr="00923DE8">
        <w:rPr>
          <w:lang w:val="en-US"/>
        </w:rPr>
        <w:t>on the situation of</w:t>
      </w:r>
      <w:proofErr w:type="gramEnd"/>
      <w:r w:rsidR="00923DE8" w:rsidRPr="00923DE8">
        <w:rPr>
          <w:lang w:val="en-US"/>
        </w:rPr>
        <w:t xml:space="preserve"> human rights defenders</w:t>
      </w:r>
      <w:r w:rsidR="00923DE8">
        <w:rPr>
          <w:lang w:val="en-US"/>
        </w:rPr>
        <w:t xml:space="preserve"> et al., Ref.: AL TUR 8/2025, 7 August 2025.</w:t>
      </w:r>
    </w:p>
  </w:footnote>
  <w:footnote w:id="21">
    <w:p w14:paraId="587B2341" w14:textId="59562BCF" w:rsidR="00E9347D" w:rsidRPr="00075BAC" w:rsidRDefault="00E9347D">
      <w:pPr>
        <w:pStyle w:val="FootnoteText"/>
        <w:rPr>
          <w:lang w:val="en-US"/>
        </w:rPr>
      </w:pPr>
      <w:r w:rsidRPr="00075BAC">
        <w:rPr>
          <w:rStyle w:val="FootnoteReference"/>
          <w:lang w:val="en-US"/>
        </w:rPr>
        <w:footnoteRef/>
      </w:r>
      <w:r w:rsidRPr="00075BAC">
        <w:rPr>
          <w:lang w:val="en-US"/>
        </w:rPr>
        <w:t xml:space="preserve"> Principle 11.</w:t>
      </w:r>
    </w:p>
  </w:footnote>
  <w:footnote w:id="22">
    <w:p w14:paraId="684247C5" w14:textId="069FC0CF" w:rsidR="00926D78" w:rsidRPr="00075BAC" w:rsidRDefault="00926D78">
      <w:pPr>
        <w:pStyle w:val="FootnoteText"/>
        <w:rPr>
          <w:lang w:val="en-US"/>
        </w:rPr>
      </w:pPr>
      <w:r w:rsidRPr="00075BAC">
        <w:rPr>
          <w:rStyle w:val="FootnoteReference"/>
          <w:lang w:val="en-US"/>
        </w:rPr>
        <w:footnoteRef/>
      </w:r>
      <w:r w:rsidRPr="00075BAC">
        <w:rPr>
          <w:lang w:val="en-US"/>
        </w:rPr>
        <w:t xml:space="preserve"> </w:t>
      </w:r>
      <w:r w:rsidR="003808F7" w:rsidRPr="00075BAC">
        <w:rPr>
          <w:lang w:val="en-US"/>
        </w:rPr>
        <w:t xml:space="preserve">Freedom of Expression Association, </w:t>
      </w:r>
      <w:r w:rsidR="00C54805" w:rsidRPr="00075BAC">
        <w:rPr>
          <w:lang w:val="en-US"/>
        </w:rPr>
        <w:t xml:space="preserve">Digital Obedience Regime: Social Media Platforms and the Illusion of Transparency in Türkiye, February 2026, </w:t>
      </w:r>
      <w:hyperlink r:id="rId9" w:history="1">
        <w:r w:rsidR="00207AB6" w:rsidRPr="00075BAC">
          <w:rPr>
            <w:rStyle w:val="Hyperlink"/>
            <w:lang w:val="en-US"/>
          </w:rPr>
          <w:t>https://ifade.org.tr/reports/SocialMediaReport.pdf</w:t>
        </w:r>
      </w:hyperlink>
      <w:r w:rsidR="00207AB6" w:rsidRPr="00075BAC">
        <w:rPr>
          <w:lang w:val="en-US"/>
        </w:rPr>
        <w:t>.</w:t>
      </w:r>
    </w:p>
  </w:footnote>
  <w:footnote w:id="23">
    <w:p w14:paraId="65EDF1E7" w14:textId="7C45DFDE" w:rsidR="003722F4" w:rsidRPr="00075BAC" w:rsidRDefault="003722F4" w:rsidP="003722F4">
      <w:pPr>
        <w:pStyle w:val="FootnoteText"/>
        <w:rPr>
          <w:lang w:val="en-US"/>
        </w:rPr>
      </w:pPr>
      <w:r w:rsidRPr="00075BAC">
        <w:rPr>
          <w:rStyle w:val="FootnoteReference"/>
          <w:lang w:val="en-US"/>
        </w:rPr>
        <w:footnoteRef/>
      </w:r>
      <w:r w:rsidRPr="00075BAC">
        <w:rPr>
          <w:lang w:val="en-US"/>
        </w:rPr>
        <w:t xml:space="preserve"> Report of the Special Rapporteur on the promotion and protection of the right to freedom of opinion and expression, Threats to freedom of expression online in turbulent times, A/80/341, 18 August 2025, paras. 12 &amp; 84.</w:t>
      </w:r>
    </w:p>
  </w:footnote>
  <w:footnote w:id="24">
    <w:p w14:paraId="5A95FB19" w14:textId="37481602" w:rsidR="0067301B" w:rsidRPr="00075BAC" w:rsidRDefault="0067301B" w:rsidP="0067301B">
      <w:pPr>
        <w:pStyle w:val="FootnoteText"/>
        <w:rPr>
          <w:lang w:val="en-US"/>
        </w:rPr>
      </w:pPr>
      <w:r w:rsidRPr="00075BAC">
        <w:rPr>
          <w:rStyle w:val="FootnoteReference"/>
          <w:lang w:val="en-US"/>
        </w:rPr>
        <w:footnoteRef/>
      </w:r>
      <w:r w:rsidR="5363F397" w:rsidRPr="00075BAC">
        <w:rPr>
          <w:lang w:val="en-US"/>
        </w:rPr>
        <w:t xml:space="preserve"> EuroMed Rights, The Rise and Impact of Government-</w:t>
      </w:r>
      <w:proofErr w:type="spellStart"/>
      <w:r w:rsidR="5363F397" w:rsidRPr="00075BAC">
        <w:rPr>
          <w:lang w:val="en-US"/>
        </w:rPr>
        <w:t>Organised</w:t>
      </w:r>
      <w:proofErr w:type="spellEnd"/>
      <w:r w:rsidR="5363F397" w:rsidRPr="00075BAC">
        <w:rPr>
          <w:lang w:val="en-US"/>
        </w:rPr>
        <w:t xml:space="preserve"> Non-Governmental Organisations (</w:t>
      </w:r>
      <w:proofErr w:type="spellStart"/>
      <w:r w:rsidR="5363F397" w:rsidRPr="00075BAC">
        <w:rPr>
          <w:lang w:val="en-US"/>
        </w:rPr>
        <w:t>GoNGOs</w:t>
      </w:r>
      <w:proofErr w:type="spellEnd"/>
      <w:r w:rsidR="5363F397" w:rsidRPr="00075BAC">
        <w:rPr>
          <w:lang w:val="en-US"/>
        </w:rPr>
        <w:t xml:space="preserve">): Another tool of repression of independent civil society, Case studies on Algeria, Egypt and </w:t>
      </w:r>
      <w:r w:rsidRPr="5363F397">
        <w:rPr>
          <w:lang w:val="en-US"/>
        </w:rPr>
        <w:t>Turkey</w:t>
      </w:r>
      <w:r w:rsidR="5363F397" w:rsidRPr="5363F397">
        <w:rPr>
          <w:lang w:val="en-US"/>
        </w:rPr>
        <w:t xml:space="preserve">, February 2021, </w:t>
      </w:r>
      <w:hyperlink r:id="rId10">
        <w:r w:rsidR="5363F397" w:rsidRPr="5363F397">
          <w:rPr>
            <w:rStyle w:val="Hyperlink"/>
            <w:lang w:val="en-US"/>
          </w:rPr>
          <w:t>https://euromedrights.org/publication/new-report-on-the-damaging-impact-of-pro-government-ngos/</w:t>
        </w:r>
      </w:hyperlink>
      <w:r w:rsidR="5363F397" w:rsidRPr="5363F397">
        <w:rPr>
          <w:lang w:val="en-US"/>
        </w:rPr>
        <w:t xml:space="preserve">. </w:t>
      </w:r>
    </w:p>
  </w:footnote>
  <w:footnote w:id="25">
    <w:p w14:paraId="08B0FCD0" w14:textId="60F5DBB2" w:rsidR="00A7378A" w:rsidRPr="00075BAC" w:rsidRDefault="00A7378A">
      <w:pPr>
        <w:pStyle w:val="FootnoteText"/>
        <w:rPr>
          <w:lang w:val="en-US"/>
        </w:rPr>
      </w:pPr>
      <w:r w:rsidRPr="00075BAC">
        <w:rPr>
          <w:rStyle w:val="FootnoteReference"/>
          <w:lang w:val="en-US"/>
        </w:rPr>
        <w:footnoteRef/>
      </w:r>
      <w:r w:rsidRPr="00075BAC">
        <w:rPr>
          <w:lang w:val="en-US"/>
        </w:rPr>
        <w:t xml:space="preserve"> </w:t>
      </w:r>
      <w:r w:rsidR="00D43098" w:rsidRPr="00655767">
        <w:t xml:space="preserve">Observatory for the Protection of Human Rights Defenders </w:t>
      </w:r>
      <w:r w:rsidR="00D43098">
        <w:t>&amp;</w:t>
      </w:r>
      <w:r w:rsidR="00D43098" w:rsidRPr="00655767">
        <w:t xml:space="preserve"> Human Rights Association</w:t>
      </w:r>
      <w:r w:rsidR="00D43098">
        <w:t>, 2022.</w:t>
      </w:r>
    </w:p>
  </w:footnote>
  <w:footnote w:id="26">
    <w:p w14:paraId="3375117D" w14:textId="77777777" w:rsidR="00665209" w:rsidRPr="00075BAC" w:rsidRDefault="00665209" w:rsidP="00665209">
      <w:pPr>
        <w:pStyle w:val="FootnoteText"/>
        <w:rPr>
          <w:lang w:val="en-US"/>
        </w:rPr>
      </w:pPr>
      <w:r w:rsidRPr="00075BAC">
        <w:rPr>
          <w:rStyle w:val="FootnoteReference"/>
          <w:lang w:val="en-US"/>
        </w:rPr>
        <w:footnoteRef/>
      </w:r>
      <w:r w:rsidRPr="00075BAC">
        <w:rPr>
          <w:lang w:val="en-US"/>
        </w:rPr>
        <w:t xml:space="preserve"> A/64/226, para. 52.</w:t>
      </w:r>
    </w:p>
  </w:footnote>
  <w:footnote w:id="27">
    <w:p w14:paraId="4B602EA8" w14:textId="5388D6E8" w:rsidR="00403E85" w:rsidRPr="00075BAC" w:rsidRDefault="00403E85" w:rsidP="00403E85">
      <w:pPr>
        <w:pStyle w:val="FootnoteText"/>
        <w:rPr>
          <w:lang w:val="en-US"/>
        </w:rPr>
      </w:pPr>
      <w:r w:rsidRPr="00075BAC">
        <w:rPr>
          <w:rStyle w:val="FootnoteReference"/>
          <w:lang w:val="en-US"/>
        </w:rPr>
        <w:footnoteRef/>
      </w:r>
      <w:r w:rsidR="5363F397" w:rsidRPr="00075BAC">
        <w:rPr>
          <w:lang w:val="en-US"/>
        </w:rPr>
        <w:t xml:space="preserve"> While tallied numbers of involuntary dissolution of associations and political parties are not available, documentation by human rights groups demonstrates that States do not shy away from resorting to this measure. e.g. Amnesty International, Burkina Faso: Dissolution of more than a hundred NGOs and associations shows intensifying crackdown on civil society, 16 April 2026, </w:t>
      </w:r>
      <w:hyperlink r:id="rId11">
        <w:r w:rsidR="5363F397" w:rsidRPr="5363F397">
          <w:rPr>
            <w:rStyle w:val="Hyperlink"/>
            <w:lang w:val="en-US"/>
          </w:rPr>
          <w:t>https://www.amnesty.org/en/latest/news/2026/04/burkina-faso-dissolution-ngos/</w:t>
        </w:r>
      </w:hyperlink>
      <w:r w:rsidR="5363F397" w:rsidRPr="00075BAC">
        <w:rPr>
          <w:lang w:val="en-US"/>
        </w:rPr>
        <w:t xml:space="preserve">; UN Special Rapporteur on Human Rights Defenders, Türkiye: arbitrary dissolution of the Genç LGBTİ+ Association and criminal charges brought against multiple human rights defenders (joint communication), 22 April 2026, </w:t>
      </w:r>
      <w:hyperlink r:id="rId12">
        <w:r w:rsidR="5363F397" w:rsidRPr="5363F397">
          <w:rPr>
            <w:rStyle w:val="Hyperlink"/>
            <w:lang w:val="en-US"/>
          </w:rPr>
          <w:t>https://srdefenders.org/turkiye-arbitrary-dissolution-of-the-genc-lgbti-association-and-criminal-charges-brought-against-multiple-human-rights-defenders-joint-communication/</w:t>
        </w:r>
      </w:hyperlink>
      <w:r w:rsidR="5363F397" w:rsidRPr="00075BAC">
        <w:rPr>
          <w:lang w:val="en-US"/>
        </w:rPr>
        <w:t xml:space="preserve">; Amnesty International, Tunisia: Dozens of NGOs at risk of dissolution as crackdown on civil society intensifies, 11 May 2026, </w:t>
      </w:r>
      <w:hyperlink r:id="rId13">
        <w:r w:rsidR="5363F397" w:rsidRPr="5363F397">
          <w:rPr>
            <w:rStyle w:val="Hyperlink"/>
            <w:lang w:val="en-US"/>
          </w:rPr>
          <w:t>https://www.amnesty.org/en/latest/news/2026/05/tunisia-dozens-of-ngos-at-risk-of-dissolution-as-crackdown-on-civil-society-intensifies/</w:t>
        </w:r>
      </w:hyperlink>
      <w:r w:rsidR="5363F397" w:rsidRPr="00075BAC">
        <w:rPr>
          <w:lang w:val="en-US"/>
        </w:rPr>
        <w:t xml:space="preserve">; Mali: Dissolution of political parties a step in the wrong direction, warn UN experts, 22 May 2025, </w:t>
      </w:r>
      <w:hyperlink r:id="rId14">
        <w:r w:rsidR="5363F397" w:rsidRPr="5363F397">
          <w:rPr>
            <w:rStyle w:val="Hyperlink"/>
            <w:lang w:val="en-US"/>
          </w:rPr>
          <w:t>https://www.ohchr.org/en/press-releases/2025/05/mali-dissolution-political-parties-step-wrong-direction-warn-un-experts</w:t>
        </w:r>
      </w:hyperlink>
      <w:r w:rsidR="5363F397" w:rsidRPr="00075BAC">
        <w:rPr>
          <w:lang w:val="en-US"/>
        </w:rPr>
        <w:t xml:space="preserve">; UN Special Rapporteur on Human Rights Defenders, Tajikistan: UN experts </w:t>
      </w:r>
      <w:proofErr w:type="spellStart"/>
      <w:r w:rsidR="5363F397" w:rsidRPr="00075BAC">
        <w:rPr>
          <w:lang w:val="en-US"/>
        </w:rPr>
        <w:t>criticise</w:t>
      </w:r>
      <w:proofErr w:type="spellEnd"/>
      <w:r w:rsidR="5363F397" w:rsidRPr="00075BAC">
        <w:rPr>
          <w:lang w:val="en-US"/>
        </w:rPr>
        <w:t xml:space="preserve"> dissolution of 700 NGOs (Press Release), 8 March 2024, </w:t>
      </w:r>
      <w:hyperlink r:id="rId15">
        <w:r w:rsidR="5363F397" w:rsidRPr="5363F397">
          <w:rPr>
            <w:rStyle w:val="Hyperlink"/>
            <w:lang w:val="en-US"/>
          </w:rPr>
          <w:t>https://srdefenders.org/tajikistan-un-experts-criticise-dissolution-of-700-ngos-press-release/</w:t>
        </w:r>
      </w:hyperlink>
      <w:r w:rsidR="5363F397" w:rsidRPr="00075BAC">
        <w:rPr>
          <w:lang w:val="en-US"/>
        </w:rPr>
        <w:t xml:space="preserve">; </w:t>
      </w:r>
      <w:r w:rsidR="5363F397" w:rsidRPr="00655767">
        <w:t>Observatory for the Protection of Human Rights Defenders (a partnership of the International Federation for Human Rights-FIDH and the World Organisation against Torture -OMCT)</w:t>
      </w:r>
      <w:r w:rsidR="5363F397">
        <w:t>,</w:t>
      </w:r>
      <w:r w:rsidR="5363F397" w:rsidRPr="00655767">
        <w:t xml:space="preserve"> Human Rights Association</w:t>
      </w:r>
      <w:r w:rsidR="5363F397">
        <w:t xml:space="preserve"> &amp; the Human Rights Foundation of </w:t>
      </w:r>
      <w:r>
        <w:t>Turkey</w:t>
      </w:r>
      <w:r w:rsidR="5363F397">
        <w:t xml:space="preserve">, “Uncertain and Eerie”: Closure Cases Against Associations in </w:t>
      </w:r>
      <w:r>
        <w:t>Turkey</w:t>
      </w:r>
      <w:r w:rsidR="5363F397">
        <w:t xml:space="preserve">, 12 September 2023, </w:t>
      </w:r>
      <w:hyperlink r:id="rId16" w:history="1">
        <w:r w:rsidR="5363F397" w:rsidRPr="5363F397">
          <w:rPr>
            <w:rStyle w:val="Hyperlink"/>
          </w:rPr>
          <w:t>https://www.fidh.org/en/region/europe-central-asia/</w:t>
        </w:r>
        <w:r w:rsidRPr="5363F397">
          <w:rPr>
            <w:rStyle w:val="Hyperlink"/>
          </w:rPr>
          <w:t>turkey</w:t>
        </w:r>
        <w:r w:rsidR="5363F397" w:rsidRPr="5363F397">
          <w:rPr>
            <w:rStyle w:val="Hyperlink"/>
          </w:rPr>
          <w:t>/</w:t>
        </w:r>
        <w:r w:rsidRPr="5363F397">
          <w:rPr>
            <w:rStyle w:val="Hyperlink"/>
          </w:rPr>
          <w:t>turkey</w:t>
        </w:r>
        <w:r w:rsidR="5363F397" w:rsidRPr="5363F397">
          <w:rPr>
            <w:rStyle w:val="Hyperlink"/>
          </w:rPr>
          <w:t>-closure-cases-against-associations-increasingly-used-to</w:t>
        </w:r>
      </w:hyperlink>
      <w:r w:rsidR="5363F397">
        <w:t xml:space="preserve">; </w:t>
      </w:r>
      <w:r w:rsidR="5363F397" w:rsidRPr="5363F397">
        <w:rPr>
          <w:lang w:val="en-US"/>
        </w:rPr>
        <w:t xml:space="preserve">International Federation for Human Rights, Russia’s leading human rights organisations resist dissolution by the regime, 11 February 2022, </w:t>
      </w:r>
      <w:hyperlink r:id="rId17">
        <w:r w:rsidR="5363F397" w:rsidRPr="5363F397">
          <w:rPr>
            <w:rStyle w:val="Hyperlink"/>
            <w:lang w:val="en-US"/>
          </w:rPr>
          <w:t>https://www.fidh.org/en/region/europe-central-asia/russia/russia-s-leading-human-rights-organisations-resist-dissolution-by-the</w:t>
        </w:r>
      </w:hyperlink>
      <w:r w:rsidR="5363F397" w:rsidRPr="5363F397">
        <w:rPr>
          <w:lang w:val="en-US"/>
        </w:rPr>
        <w:t xml:space="preserve">.  </w:t>
      </w:r>
    </w:p>
  </w:footnote>
  <w:footnote w:id="28">
    <w:p w14:paraId="72031148" w14:textId="61355635" w:rsidR="00292B7E" w:rsidRPr="00075BAC" w:rsidRDefault="00292B7E" w:rsidP="00292B7E">
      <w:pPr>
        <w:pStyle w:val="FootnoteText"/>
        <w:rPr>
          <w:lang w:val="en-US"/>
        </w:rPr>
      </w:pPr>
      <w:r w:rsidRPr="00075BAC">
        <w:rPr>
          <w:rStyle w:val="FootnoteReference"/>
          <w:lang w:val="en-US"/>
        </w:rPr>
        <w:footnoteRef/>
      </w:r>
      <w:r w:rsidRPr="00075BAC">
        <w:rPr>
          <w:lang w:val="en-US"/>
        </w:rPr>
        <w:t xml:space="preserve"> European Court of Human Rights, Case of Association Rhino and Others v. Switzerland, 48848/07, Judgment (Merits and Just Satisfaction), Court (Second Section), 111 October 2011, para. 58.</w:t>
      </w:r>
    </w:p>
  </w:footnote>
  <w:footnote w:id="29">
    <w:p w14:paraId="58800AF6" w14:textId="40425793" w:rsidR="00E956DB" w:rsidRPr="00075BAC" w:rsidRDefault="00E956DB" w:rsidP="00E956DB">
      <w:pPr>
        <w:pStyle w:val="FootnoteText"/>
        <w:rPr>
          <w:lang w:val="en-US"/>
        </w:rPr>
      </w:pPr>
      <w:r w:rsidRPr="00075BAC">
        <w:rPr>
          <w:rStyle w:val="FootnoteReference"/>
          <w:lang w:val="en-US"/>
        </w:rPr>
        <w:footnoteRef/>
      </w:r>
      <w:r w:rsidRPr="00075BAC">
        <w:rPr>
          <w:lang w:val="en-US"/>
        </w:rPr>
        <w:t xml:space="preserve"> Article 89 of the Turkish Civil Code: “If the association’s purpose becomes contrary to the law or public morality, the court shall order the dissolution of the association upon the request of the public prosecutor or an interested party.”</w:t>
      </w:r>
    </w:p>
  </w:footnote>
  <w:footnote w:id="30">
    <w:p w14:paraId="2092437B" w14:textId="4D201506" w:rsidR="00C92D30" w:rsidRPr="00075BAC" w:rsidRDefault="00C92D30">
      <w:pPr>
        <w:pStyle w:val="FootnoteText"/>
        <w:rPr>
          <w:lang w:val="en-US"/>
        </w:rPr>
      </w:pPr>
      <w:r w:rsidRPr="00075BAC">
        <w:rPr>
          <w:rStyle w:val="FootnoteReference"/>
          <w:lang w:val="en-US"/>
        </w:rPr>
        <w:footnoteRef/>
      </w:r>
      <w:r w:rsidR="5363F397" w:rsidRPr="00075BAC">
        <w:rPr>
          <w:lang w:val="en-US"/>
        </w:rPr>
        <w:t xml:space="preserve"> Human Rights Association, Human Rights Defenders in An Iron Cage: The Anti-Terrorism Law in </w:t>
      </w:r>
      <w:r w:rsidRPr="5363F397">
        <w:rPr>
          <w:lang w:val="en-US"/>
        </w:rPr>
        <w:t>Turkey</w:t>
      </w:r>
      <w:r w:rsidR="5363F397" w:rsidRPr="5363F397">
        <w:rPr>
          <w:lang w:val="en-US"/>
        </w:rPr>
        <w:t xml:space="preserve">, January 2022, </w:t>
      </w:r>
      <w:hyperlink r:id="rId18">
        <w:r w:rsidR="5363F397" w:rsidRPr="5363F397">
          <w:rPr>
            <w:rStyle w:val="Hyperlink"/>
            <w:lang w:val="en-US"/>
          </w:rPr>
          <w:t>https://ihd.org.tr/en/wp-content/uploads/2022/05/OzturkTurkdogan_ATL-Report_OMCT_EN.pdf</w:t>
        </w:r>
      </w:hyperlink>
      <w:r w:rsidR="5363F397" w:rsidRPr="5363F397">
        <w:rPr>
          <w:lang w:val="en-US"/>
        </w:rPr>
        <w:t>, p. 10.</w:t>
      </w:r>
    </w:p>
  </w:footnote>
  <w:footnote w:id="31">
    <w:p w14:paraId="0CC2F993" w14:textId="43F165B5" w:rsidR="00675786" w:rsidRPr="00075BAC" w:rsidRDefault="00675786" w:rsidP="004037DF">
      <w:pPr>
        <w:pStyle w:val="FootnoteText"/>
        <w:rPr>
          <w:lang w:val="en-US"/>
        </w:rPr>
      </w:pPr>
      <w:r w:rsidRPr="00075BAC">
        <w:rPr>
          <w:rStyle w:val="FootnoteReference"/>
          <w:lang w:val="en-US"/>
        </w:rPr>
        <w:footnoteRef/>
      </w:r>
      <w:r w:rsidR="5363F397" w:rsidRPr="00075BAC">
        <w:rPr>
          <w:lang w:val="en-US"/>
        </w:rPr>
        <w:t xml:space="preserve"> Amnesty International, Weaponizing Counterterrorism: </w:t>
      </w:r>
      <w:r w:rsidRPr="5363F397">
        <w:rPr>
          <w:lang w:val="en-US"/>
        </w:rPr>
        <w:t>Turkey</w:t>
      </w:r>
      <w:r w:rsidR="5363F397" w:rsidRPr="5363F397">
        <w:rPr>
          <w:lang w:val="en-US"/>
        </w:rPr>
        <w:t xml:space="preserve"> exploits terrorism financing assessment to target civil society, 18 June 2021, </w:t>
      </w:r>
      <w:hyperlink r:id="rId19">
        <w:r w:rsidR="5363F397" w:rsidRPr="5363F397">
          <w:rPr>
            <w:rStyle w:val="Hyperlink"/>
            <w:lang w:val="en-US"/>
          </w:rPr>
          <w:t>https://www.amnesty.org/en/documents/eur44/4269/2021/en/</w:t>
        </w:r>
      </w:hyperlink>
      <w:r w:rsidR="5363F397" w:rsidRPr="5363F397">
        <w:rPr>
          <w:lang w:val="en-US"/>
        </w:rPr>
        <w:t xml:space="preserve">; Human Security Collective, The Future of FATF Recommendation 8: A Foresight Piece, November 2023, </w:t>
      </w:r>
      <w:hyperlink r:id="rId20">
        <w:r w:rsidR="5363F397" w:rsidRPr="5363F397">
          <w:rPr>
            <w:rStyle w:val="Hyperlink"/>
            <w:lang w:val="en-US"/>
          </w:rPr>
          <w:t>https://www.hscollective.org/assets/Final_R8-Foresight_.pdf</w:t>
        </w:r>
      </w:hyperlink>
      <w:r w:rsidR="5363F397" w:rsidRPr="5363F397">
        <w:rPr>
          <w:lang w:val="en-US"/>
        </w:rPr>
        <w:t xml:space="preserve">. </w:t>
      </w:r>
    </w:p>
  </w:footnote>
  <w:footnote w:id="32">
    <w:p w14:paraId="455B591C" w14:textId="5FE9D9B8" w:rsidR="005B0DF3" w:rsidRPr="00075BAC" w:rsidRDefault="005B0DF3">
      <w:pPr>
        <w:pStyle w:val="FootnoteText"/>
        <w:rPr>
          <w:lang w:val="en-US"/>
        </w:rPr>
      </w:pPr>
      <w:r w:rsidRPr="00075BAC">
        <w:rPr>
          <w:rStyle w:val="FootnoteReference"/>
          <w:lang w:val="en-US"/>
        </w:rPr>
        <w:footnoteRef/>
      </w:r>
      <w:r w:rsidRPr="00075BAC">
        <w:rPr>
          <w:lang w:val="en-US"/>
        </w:rPr>
        <w:t xml:space="preserve"> Commentary to the Declaration on the Right and Responsibility of Individuals, Groups and Organs of </w:t>
      </w:r>
      <w:r w:rsidR="00AD0AD8" w:rsidRPr="00075BAC">
        <w:rPr>
          <w:lang w:val="en-US"/>
        </w:rPr>
        <w:t>Society to</w:t>
      </w:r>
      <w:r w:rsidRPr="00075BAC">
        <w:rPr>
          <w:lang w:val="en-US"/>
        </w:rPr>
        <w:t xml:space="preserve"> Promote and Protect Universally Recognized Human Rights and Fundamental Freedoms, Chapter IV.</w:t>
      </w:r>
    </w:p>
  </w:footnote>
  <w:footnote w:id="33">
    <w:p w14:paraId="381E2065" w14:textId="76FCAA59" w:rsidR="00D3208E" w:rsidRPr="00075BAC" w:rsidRDefault="00D3208E" w:rsidP="00D3208E">
      <w:pPr>
        <w:pStyle w:val="FootnoteText"/>
        <w:rPr>
          <w:lang w:val="tr-TR"/>
        </w:rPr>
      </w:pPr>
      <w:r w:rsidRPr="00075BAC">
        <w:rPr>
          <w:rStyle w:val="FootnoteReference"/>
        </w:rPr>
        <w:footnoteRef/>
      </w:r>
      <w:r w:rsidRPr="00075BAC">
        <w:t xml:space="preserve"> </w:t>
      </w:r>
      <w:r w:rsidRPr="00075BAC">
        <w:rPr>
          <w:lang w:val="tr-TR"/>
        </w:rPr>
        <w:t xml:space="preserve">Report of the Secretary-General, </w:t>
      </w:r>
      <w:r w:rsidRPr="00075BAC">
        <w:t>Cooperation with the United Nations, its representatives and mechanisms in the field of human rights, A/HRC/60/62, 9 September 2025.</w:t>
      </w:r>
    </w:p>
  </w:footnote>
  <w:footnote w:id="34">
    <w:p w14:paraId="5DB7FDD8" w14:textId="5FF5D58D" w:rsidR="003D7C42" w:rsidRPr="00075BAC" w:rsidRDefault="003D7C42" w:rsidP="006E2249">
      <w:pPr>
        <w:pStyle w:val="FootnoteText"/>
        <w:rPr>
          <w:lang w:val="tr-TR"/>
        </w:rPr>
      </w:pPr>
      <w:r w:rsidRPr="00075BAC">
        <w:rPr>
          <w:rStyle w:val="FootnoteReference"/>
        </w:rPr>
        <w:footnoteRef/>
      </w:r>
      <w:r w:rsidRPr="00075BAC">
        <w:t xml:space="preserve"> </w:t>
      </w:r>
      <w:r w:rsidR="00CF1279" w:rsidRPr="00075BAC">
        <w:t xml:space="preserve">Report of the Independent Expert on protection against violence and discrimination based on sexual orientation and gender identity, Graeme Reid, </w:t>
      </w:r>
      <w:r w:rsidR="006E2249" w:rsidRPr="00075BAC">
        <w:t>Protection against violence and discrimination based on sexual orientation and gender identity in relation to the human rights to freedom of expression, peaceful assembly and association, A/HRC/56/49, 18 April 2024.</w:t>
      </w:r>
    </w:p>
  </w:footnote>
  <w:footnote w:id="35">
    <w:p w14:paraId="6A18EC55" w14:textId="5B936B6F" w:rsidR="00AA50F8" w:rsidRPr="00075BAC" w:rsidRDefault="00AA50F8">
      <w:pPr>
        <w:pStyle w:val="FootnoteText"/>
        <w:rPr>
          <w:lang w:val="tr-TR"/>
        </w:rPr>
      </w:pPr>
      <w:r w:rsidRPr="00075BAC">
        <w:rPr>
          <w:rStyle w:val="FootnoteReference"/>
        </w:rPr>
        <w:footnoteRef/>
      </w:r>
      <w:r w:rsidRPr="00075BAC">
        <w:t xml:space="preserve"> Mandates of the Special Rapporteur </w:t>
      </w:r>
      <w:proofErr w:type="gramStart"/>
      <w:r w:rsidRPr="00075BAC">
        <w:t>on the situation of</w:t>
      </w:r>
      <w:proofErr w:type="gramEnd"/>
      <w:r w:rsidRPr="00075BAC">
        <w:t xml:space="preserve"> human rights defenders et al., Ref: AL TUR 3/2026 11 February 2026.</w:t>
      </w:r>
    </w:p>
  </w:footnote>
  <w:footnote w:id="36">
    <w:p w14:paraId="2B38CA46" w14:textId="639D9D9D" w:rsidR="00075BAC" w:rsidRPr="00075BAC" w:rsidRDefault="00075BAC" w:rsidP="00075BAC">
      <w:pPr>
        <w:pStyle w:val="FootnoteText"/>
        <w:rPr>
          <w:lang w:val="en-US"/>
        </w:rPr>
      </w:pPr>
      <w:r w:rsidRPr="00075BAC">
        <w:rPr>
          <w:rStyle w:val="FootnoteReference"/>
        </w:rPr>
        <w:footnoteRef/>
      </w:r>
      <w:r w:rsidRPr="00075BAC">
        <w:t xml:space="preserve"> </w:t>
      </w:r>
      <w:r w:rsidRPr="00075BAC">
        <w:rPr>
          <w:lang w:val="tr-TR"/>
        </w:rPr>
        <w:t xml:space="preserve">Council of Europe, </w:t>
      </w:r>
      <w:r w:rsidRPr="00075BAC">
        <w:rPr>
          <w:lang w:val="en-US"/>
        </w:rPr>
        <w:t>CM/Rec(2010)5 - Recommendation of the Committee of Ministers to member states on measures to combat discrimination on grounds of sexual orientation or gender identity</w:t>
      </w:r>
      <w:r>
        <w:rPr>
          <w:lang w:val="en-US"/>
        </w:rPr>
        <w:t>, 31 March 2010, para. 9.</w:t>
      </w:r>
    </w:p>
  </w:footnote>
  <w:footnote w:id="37">
    <w:p w14:paraId="4F5D7C85" w14:textId="0DEDD7FB" w:rsidR="00AE174F" w:rsidRPr="00075BAC" w:rsidRDefault="00AE174F" w:rsidP="00AE174F">
      <w:pPr>
        <w:pStyle w:val="FootnoteText"/>
        <w:rPr>
          <w:lang w:val="en-US"/>
        </w:rPr>
      </w:pPr>
      <w:r w:rsidRPr="00075BAC">
        <w:rPr>
          <w:rStyle w:val="FootnoteReference"/>
          <w:lang w:val="en-US"/>
        </w:rPr>
        <w:footnoteRef/>
      </w:r>
      <w:r w:rsidRPr="00075BAC">
        <w:rPr>
          <w:lang w:val="en-US"/>
        </w:rPr>
        <w:t xml:space="preserve"> Venice Commission &amp; OSCE/ODIHR, Joint Guidelines on Freedom of Association, Principle 10</w:t>
      </w:r>
      <w:r w:rsidR="001F331C" w:rsidRPr="00075BAC">
        <w:rPr>
          <w:lang w:val="en-US"/>
        </w:rPr>
        <w:t xml:space="preserve">; European Court of Human Rights, Case of </w:t>
      </w:r>
      <w:proofErr w:type="spellStart"/>
      <w:r w:rsidR="001F331C" w:rsidRPr="00075BAC">
        <w:rPr>
          <w:lang w:val="en-US"/>
        </w:rPr>
        <w:t>Tebieti</w:t>
      </w:r>
      <w:proofErr w:type="spellEnd"/>
      <w:r w:rsidR="001F331C" w:rsidRPr="00075BAC">
        <w:rPr>
          <w:lang w:val="en-US"/>
        </w:rPr>
        <w:t xml:space="preserve"> </w:t>
      </w:r>
      <w:proofErr w:type="spellStart"/>
      <w:r w:rsidR="001F331C" w:rsidRPr="00075BAC">
        <w:rPr>
          <w:lang w:val="en-US"/>
        </w:rPr>
        <w:t>Muhafize</w:t>
      </w:r>
      <w:proofErr w:type="spellEnd"/>
      <w:r w:rsidR="001F331C" w:rsidRPr="00075BAC">
        <w:rPr>
          <w:lang w:val="en-US"/>
        </w:rPr>
        <w:t xml:space="preserve"> </w:t>
      </w:r>
      <w:proofErr w:type="spellStart"/>
      <w:r w:rsidR="001F331C" w:rsidRPr="00075BAC">
        <w:rPr>
          <w:lang w:val="en-US"/>
        </w:rPr>
        <w:t>Cemiyeti</w:t>
      </w:r>
      <w:proofErr w:type="spellEnd"/>
      <w:r w:rsidR="001F331C" w:rsidRPr="00075BAC">
        <w:rPr>
          <w:lang w:val="en-US"/>
        </w:rPr>
        <w:t xml:space="preserve"> and </w:t>
      </w:r>
      <w:proofErr w:type="spellStart"/>
      <w:r w:rsidR="001F331C" w:rsidRPr="00075BAC">
        <w:rPr>
          <w:lang w:val="en-US"/>
        </w:rPr>
        <w:t>İsrafilov</w:t>
      </w:r>
      <w:proofErr w:type="spellEnd"/>
      <w:r w:rsidR="001F331C" w:rsidRPr="00075BAC">
        <w:rPr>
          <w:lang w:val="en-US"/>
        </w:rPr>
        <w:t xml:space="preserve"> v. Azerbaijan, 37083/03, Judgment (Merits and Just Satisfaction), Court (First Section), 8 October 2009, para.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C71" w14:textId="0935F4A6" w:rsidR="00B94D00" w:rsidRDefault="00B94D00" w:rsidP="00B94D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F986" w14:textId="6D0FF165" w:rsidR="00B94D00" w:rsidRDefault="00B94D00" w:rsidP="00B94D00">
    <w:pPr>
      <w:pStyle w:val="Header"/>
      <w:jc w:val="center"/>
    </w:pPr>
    <w:r>
      <w:fldChar w:fldCharType="begin"/>
    </w:r>
    <w:r>
      <w:instrText xml:space="preserve"> INCLUDEPICTURE "https://encrypted-tbn0.gstatic.com/images?q=tbn:ANd9GcQL8yu3FLge63GK_RYlirTm5cK9gtyMkxUJyw&amp;s" \* MERGEFORMATINET </w:instrText>
    </w:r>
    <w:r>
      <w:fldChar w:fldCharType="separate"/>
    </w:r>
    <w:r>
      <w:rPr>
        <w:noProof/>
      </w:rPr>
      <w:drawing>
        <wp:inline distT="0" distB="0" distL="0" distR="0" wp14:anchorId="17ACA389" wp14:editId="305443F5">
          <wp:extent cx="1889090" cy="856925"/>
          <wp:effectExtent l="0" t="0" r="3810" b="0"/>
          <wp:docPr id="2003465977" name="Picture 1" descr="Home - Euromed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uromed Rig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619" cy="87531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028C"/>
    <w:multiLevelType w:val="hybridMultilevel"/>
    <w:tmpl w:val="94C4C96A"/>
    <w:lvl w:ilvl="0" w:tplc="E67CAEF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B6012"/>
    <w:multiLevelType w:val="hybridMultilevel"/>
    <w:tmpl w:val="E60020CC"/>
    <w:lvl w:ilvl="0" w:tplc="E208ECCA">
      <w:start w:val="1"/>
      <w:numFmt w:val="upperRoman"/>
      <w:lvlText w:val="%1."/>
      <w:lvlJc w:val="left"/>
      <w:pPr>
        <w:ind w:left="1080" w:hanging="720"/>
      </w:pPr>
      <w:rPr>
        <w:rFonts w:hint="default"/>
      </w:rPr>
    </w:lvl>
    <w:lvl w:ilvl="1" w:tplc="8B7823EC">
      <w:start w:val="1"/>
      <w:numFmt w:val="upperLetter"/>
      <w:lvlText w:val="%2."/>
      <w:lvlJc w:val="left"/>
      <w:pPr>
        <w:ind w:left="1440" w:hanging="360"/>
      </w:pPr>
      <w:rPr>
        <w:b/>
        <w:bCs/>
      </w:rPr>
    </w:lvl>
    <w:lvl w:ilvl="2" w:tplc="58B22286">
      <w:start w:val="1"/>
      <w:numFmt w:val="lowerLetter"/>
      <w:lvlText w:val="%3."/>
      <w:lvlJc w:val="left"/>
      <w:pPr>
        <w:ind w:left="2340" w:hanging="36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3224A"/>
    <w:multiLevelType w:val="hybridMultilevel"/>
    <w:tmpl w:val="BC50E266"/>
    <w:lvl w:ilvl="0" w:tplc="86D4076A">
      <w:start w:val="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534CB"/>
    <w:multiLevelType w:val="hybridMultilevel"/>
    <w:tmpl w:val="5C160A38"/>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rPr>
        <w:b/>
        <w:bCs/>
      </w:rPr>
    </w:lvl>
    <w:lvl w:ilvl="2" w:tplc="FFFFFFFF">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11611"/>
    <w:multiLevelType w:val="hybridMultilevel"/>
    <w:tmpl w:val="41EEABAC"/>
    <w:lvl w:ilvl="0" w:tplc="280A8B02">
      <w:start w:val="3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67EEA"/>
    <w:multiLevelType w:val="multilevel"/>
    <w:tmpl w:val="EC4251D8"/>
    <w:styleLink w:val="CurrentList1"/>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lowerLetter"/>
      <w:lvlText w:val="%3."/>
      <w:lvlJc w:val="left"/>
      <w:pPr>
        <w:ind w:left="2340" w:hanging="36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334DB5"/>
    <w:multiLevelType w:val="hybridMultilevel"/>
    <w:tmpl w:val="B38EF7D4"/>
    <w:lvl w:ilvl="0" w:tplc="3EF8419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92540">
    <w:abstractNumId w:val="1"/>
  </w:num>
  <w:num w:numId="2" w16cid:durableId="165755377">
    <w:abstractNumId w:val="4"/>
  </w:num>
  <w:num w:numId="3" w16cid:durableId="1363359135">
    <w:abstractNumId w:val="2"/>
  </w:num>
  <w:num w:numId="4" w16cid:durableId="305356873">
    <w:abstractNumId w:val="6"/>
  </w:num>
  <w:num w:numId="5" w16cid:durableId="191845003">
    <w:abstractNumId w:val="0"/>
  </w:num>
  <w:num w:numId="6" w16cid:durableId="762839699">
    <w:abstractNumId w:val="5"/>
  </w:num>
  <w:num w:numId="7" w16cid:durableId="84306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00"/>
    <w:rsid w:val="00001020"/>
    <w:rsid w:val="00014B8E"/>
    <w:rsid w:val="00014D1A"/>
    <w:rsid w:val="0001757B"/>
    <w:rsid w:val="00033B07"/>
    <w:rsid w:val="0004509B"/>
    <w:rsid w:val="000624DC"/>
    <w:rsid w:val="00070A77"/>
    <w:rsid w:val="000742C6"/>
    <w:rsid w:val="00075BAC"/>
    <w:rsid w:val="000821D9"/>
    <w:rsid w:val="0009359C"/>
    <w:rsid w:val="000A7754"/>
    <w:rsid w:val="000B5204"/>
    <w:rsid w:val="000C3F42"/>
    <w:rsid w:val="000C65B3"/>
    <w:rsid w:val="000D05F7"/>
    <w:rsid w:val="000D2A2B"/>
    <w:rsid w:val="000E1365"/>
    <w:rsid w:val="000F2F59"/>
    <w:rsid w:val="000F352A"/>
    <w:rsid w:val="001006BF"/>
    <w:rsid w:val="00110FEF"/>
    <w:rsid w:val="00111F53"/>
    <w:rsid w:val="001126A7"/>
    <w:rsid w:val="00113FD2"/>
    <w:rsid w:val="00162680"/>
    <w:rsid w:val="00167D1B"/>
    <w:rsid w:val="00184246"/>
    <w:rsid w:val="00187A13"/>
    <w:rsid w:val="00190A87"/>
    <w:rsid w:val="00197121"/>
    <w:rsid w:val="001A4D8F"/>
    <w:rsid w:val="001E0E2F"/>
    <w:rsid w:val="001E346E"/>
    <w:rsid w:val="001F331C"/>
    <w:rsid w:val="00201A37"/>
    <w:rsid w:val="00203B59"/>
    <w:rsid w:val="00207AB6"/>
    <w:rsid w:val="00211D33"/>
    <w:rsid w:val="002208C2"/>
    <w:rsid w:val="00225494"/>
    <w:rsid w:val="00227F9E"/>
    <w:rsid w:val="00292B7E"/>
    <w:rsid w:val="00294708"/>
    <w:rsid w:val="002A339E"/>
    <w:rsid w:val="002C7ACD"/>
    <w:rsid w:val="002D2EDC"/>
    <w:rsid w:val="002D7299"/>
    <w:rsid w:val="002E4466"/>
    <w:rsid w:val="002E722C"/>
    <w:rsid w:val="002E75C9"/>
    <w:rsid w:val="002F04BA"/>
    <w:rsid w:val="002F1DF2"/>
    <w:rsid w:val="00301E2C"/>
    <w:rsid w:val="0030565B"/>
    <w:rsid w:val="0030719E"/>
    <w:rsid w:val="00311695"/>
    <w:rsid w:val="00316D9B"/>
    <w:rsid w:val="00327CA2"/>
    <w:rsid w:val="00332676"/>
    <w:rsid w:val="003638C2"/>
    <w:rsid w:val="003722F4"/>
    <w:rsid w:val="00373925"/>
    <w:rsid w:val="003808F7"/>
    <w:rsid w:val="003814D1"/>
    <w:rsid w:val="0039059C"/>
    <w:rsid w:val="00391A90"/>
    <w:rsid w:val="003C0535"/>
    <w:rsid w:val="003D7C42"/>
    <w:rsid w:val="00400F50"/>
    <w:rsid w:val="004026EB"/>
    <w:rsid w:val="004037DF"/>
    <w:rsid w:val="00403E85"/>
    <w:rsid w:val="004041A3"/>
    <w:rsid w:val="00426070"/>
    <w:rsid w:val="00444457"/>
    <w:rsid w:val="00457C42"/>
    <w:rsid w:val="004714E0"/>
    <w:rsid w:val="0047212F"/>
    <w:rsid w:val="00473D59"/>
    <w:rsid w:val="0048361C"/>
    <w:rsid w:val="00485325"/>
    <w:rsid w:val="00494998"/>
    <w:rsid w:val="004A3447"/>
    <w:rsid w:val="004C3A95"/>
    <w:rsid w:val="004D03A5"/>
    <w:rsid w:val="004E104F"/>
    <w:rsid w:val="00505FFA"/>
    <w:rsid w:val="00506E22"/>
    <w:rsid w:val="005121F7"/>
    <w:rsid w:val="00514986"/>
    <w:rsid w:val="00522F3C"/>
    <w:rsid w:val="00524E18"/>
    <w:rsid w:val="005268DF"/>
    <w:rsid w:val="00533647"/>
    <w:rsid w:val="0053F273"/>
    <w:rsid w:val="00547446"/>
    <w:rsid w:val="005614EA"/>
    <w:rsid w:val="005719EF"/>
    <w:rsid w:val="00595A95"/>
    <w:rsid w:val="005A4F2A"/>
    <w:rsid w:val="005B0C0E"/>
    <w:rsid w:val="005B0DF3"/>
    <w:rsid w:val="005B2D27"/>
    <w:rsid w:val="005B4405"/>
    <w:rsid w:val="005B44A7"/>
    <w:rsid w:val="005B63C5"/>
    <w:rsid w:val="005C5188"/>
    <w:rsid w:val="005D12E1"/>
    <w:rsid w:val="005F1729"/>
    <w:rsid w:val="005F6494"/>
    <w:rsid w:val="00601087"/>
    <w:rsid w:val="0060266D"/>
    <w:rsid w:val="006032CB"/>
    <w:rsid w:val="0060548C"/>
    <w:rsid w:val="00606CE3"/>
    <w:rsid w:val="00633E6E"/>
    <w:rsid w:val="006357A1"/>
    <w:rsid w:val="006372DC"/>
    <w:rsid w:val="00655767"/>
    <w:rsid w:val="00660A43"/>
    <w:rsid w:val="0066396A"/>
    <w:rsid w:val="00665209"/>
    <w:rsid w:val="00672A92"/>
    <w:rsid w:val="0067301B"/>
    <w:rsid w:val="006740D6"/>
    <w:rsid w:val="00675786"/>
    <w:rsid w:val="00680AFF"/>
    <w:rsid w:val="00680C38"/>
    <w:rsid w:val="00690D6D"/>
    <w:rsid w:val="00692CDD"/>
    <w:rsid w:val="006A6C74"/>
    <w:rsid w:val="006B70E8"/>
    <w:rsid w:val="006D6F0E"/>
    <w:rsid w:val="006E0C69"/>
    <w:rsid w:val="006E2249"/>
    <w:rsid w:val="006E77C3"/>
    <w:rsid w:val="006E7C31"/>
    <w:rsid w:val="007009D0"/>
    <w:rsid w:val="00706AD8"/>
    <w:rsid w:val="00716065"/>
    <w:rsid w:val="00720DC9"/>
    <w:rsid w:val="00725CF0"/>
    <w:rsid w:val="0074110F"/>
    <w:rsid w:val="00743D73"/>
    <w:rsid w:val="00754479"/>
    <w:rsid w:val="0077337B"/>
    <w:rsid w:val="007814A5"/>
    <w:rsid w:val="00784263"/>
    <w:rsid w:val="0079100E"/>
    <w:rsid w:val="007945A3"/>
    <w:rsid w:val="007B184D"/>
    <w:rsid w:val="007D7402"/>
    <w:rsid w:val="007E0A29"/>
    <w:rsid w:val="007E3A9D"/>
    <w:rsid w:val="007E4B8D"/>
    <w:rsid w:val="007F3E6B"/>
    <w:rsid w:val="007F55DC"/>
    <w:rsid w:val="00802340"/>
    <w:rsid w:val="00811D99"/>
    <w:rsid w:val="008173C4"/>
    <w:rsid w:val="00824D1B"/>
    <w:rsid w:val="00847C58"/>
    <w:rsid w:val="00855E48"/>
    <w:rsid w:val="0085738C"/>
    <w:rsid w:val="00857B2C"/>
    <w:rsid w:val="00863180"/>
    <w:rsid w:val="00865F66"/>
    <w:rsid w:val="008704AD"/>
    <w:rsid w:val="00875107"/>
    <w:rsid w:val="008751F2"/>
    <w:rsid w:val="00885965"/>
    <w:rsid w:val="0089152C"/>
    <w:rsid w:val="00894F28"/>
    <w:rsid w:val="008A65F6"/>
    <w:rsid w:val="008B2422"/>
    <w:rsid w:val="008B7E69"/>
    <w:rsid w:val="008C0ABB"/>
    <w:rsid w:val="008C43CD"/>
    <w:rsid w:val="008D1AAD"/>
    <w:rsid w:val="008F21C4"/>
    <w:rsid w:val="008F71EF"/>
    <w:rsid w:val="00906F10"/>
    <w:rsid w:val="00911163"/>
    <w:rsid w:val="00923DE8"/>
    <w:rsid w:val="00926D78"/>
    <w:rsid w:val="009662C4"/>
    <w:rsid w:val="00997C15"/>
    <w:rsid w:val="009A711E"/>
    <w:rsid w:val="009B6E30"/>
    <w:rsid w:val="009B78BB"/>
    <w:rsid w:val="009C066D"/>
    <w:rsid w:val="009C3E33"/>
    <w:rsid w:val="009E1A2A"/>
    <w:rsid w:val="009F0C14"/>
    <w:rsid w:val="00A269D9"/>
    <w:rsid w:val="00A42A40"/>
    <w:rsid w:val="00A65E96"/>
    <w:rsid w:val="00A66EE2"/>
    <w:rsid w:val="00A7069F"/>
    <w:rsid w:val="00A7378A"/>
    <w:rsid w:val="00A80B3C"/>
    <w:rsid w:val="00AA50F8"/>
    <w:rsid w:val="00AC05A3"/>
    <w:rsid w:val="00AC6ECF"/>
    <w:rsid w:val="00AD0AD8"/>
    <w:rsid w:val="00AD768B"/>
    <w:rsid w:val="00AE174F"/>
    <w:rsid w:val="00AE36EA"/>
    <w:rsid w:val="00AE7803"/>
    <w:rsid w:val="00AF2E28"/>
    <w:rsid w:val="00AF4639"/>
    <w:rsid w:val="00B24329"/>
    <w:rsid w:val="00B27084"/>
    <w:rsid w:val="00B348FE"/>
    <w:rsid w:val="00B4120E"/>
    <w:rsid w:val="00B5379B"/>
    <w:rsid w:val="00B53BB2"/>
    <w:rsid w:val="00B62F70"/>
    <w:rsid w:val="00B70C42"/>
    <w:rsid w:val="00B75F00"/>
    <w:rsid w:val="00B87184"/>
    <w:rsid w:val="00B94D00"/>
    <w:rsid w:val="00BA2044"/>
    <w:rsid w:val="00BA3D85"/>
    <w:rsid w:val="00BB3706"/>
    <w:rsid w:val="00BE336B"/>
    <w:rsid w:val="00BE5FE9"/>
    <w:rsid w:val="00BF4081"/>
    <w:rsid w:val="00C231DA"/>
    <w:rsid w:val="00C3224E"/>
    <w:rsid w:val="00C51AF4"/>
    <w:rsid w:val="00C54805"/>
    <w:rsid w:val="00C56D75"/>
    <w:rsid w:val="00C645A2"/>
    <w:rsid w:val="00C67B11"/>
    <w:rsid w:val="00C90006"/>
    <w:rsid w:val="00C91C53"/>
    <w:rsid w:val="00C92D30"/>
    <w:rsid w:val="00CC5381"/>
    <w:rsid w:val="00CC5860"/>
    <w:rsid w:val="00CD27B1"/>
    <w:rsid w:val="00CF1279"/>
    <w:rsid w:val="00D02F71"/>
    <w:rsid w:val="00D05512"/>
    <w:rsid w:val="00D21233"/>
    <w:rsid w:val="00D3208E"/>
    <w:rsid w:val="00D43098"/>
    <w:rsid w:val="00D504A0"/>
    <w:rsid w:val="00D611A9"/>
    <w:rsid w:val="00D62AAE"/>
    <w:rsid w:val="00D75ADD"/>
    <w:rsid w:val="00DD38C0"/>
    <w:rsid w:val="00DD4D8F"/>
    <w:rsid w:val="00DD60C9"/>
    <w:rsid w:val="00E13DA7"/>
    <w:rsid w:val="00E34824"/>
    <w:rsid w:val="00E85559"/>
    <w:rsid w:val="00E87793"/>
    <w:rsid w:val="00E9055D"/>
    <w:rsid w:val="00E9347D"/>
    <w:rsid w:val="00E9507B"/>
    <w:rsid w:val="00E956DB"/>
    <w:rsid w:val="00EA1CD9"/>
    <w:rsid w:val="00EA3504"/>
    <w:rsid w:val="00EC313B"/>
    <w:rsid w:val="00EF7CC8"/>
    <w:rsid w:val="00F008A4"/>
    <w:rsid w:val="00F2059B"/>
    <w:rsid w:val="00F559EA"/>
    <w:rsid w:val="00F635CE"/>
    <w:rsid w:val="00F74ADE"/>
    <w:rsid w:val="00F82BA5"/>
    <w:rsid w:val="00FB7DC1"/>
    <w:rsid w:val="00FC0BDD"/>
    <w:rsid w:val="00FD23D2"/>
    <w:rsid w:val="00FD5030"/>
    <w:rsid w:val="00FD5AD2"/>
    <w:rsid w:val="00FF4629"/>
    <w:rsid w:val="011DBC78"/>
    <w:rsid w:val="01C0C3FB"/>
    <w:rsid w:val="01D4A093"/>
    <w:rsid w:val="02270C6E"/>
    <w:rsid w:val="024C1945"/>
    <w:rsid w:val="027975DB"/>
    <w:rsid w:val="0285E518"/>
    <w:rsid w:val="02B23DB6"/>
    <w:rsid w:val="02BDF079"/>
    <w:rsid w:val="0302C4D3"/>
    <w:rsid w:val="032319A6"/>
    <w:rsid w:val="03813BA6"/>
    <w:rsid w:val="03C3DC01"/>
    <w:rsid w:val="03F0D245"/>
    <w:rsid w:val="0407E872"/>
    <w:rsid w:val="0419D0F5"/>
    <w:rsid w:val="0437FF62"/>
    <w:rsid w:val="04DCA8FB"/>
    <w:rsid w:val="05B9BCE5"/>
    <w:rsid w:val="06122FC5"/>
    <w:rsid w:val="072875AD"/>
    <w:rsid w:val="0749944F"/>
    <w:rsid w:val="07506AC7"/>
    <w:rsid w:val="078150F0"/>
    <w:rsid w:val="082A611F"/>
    <w:rsid w:val="085818EC"/>
    <w:rsid w:val="08ABDBD3"/>
    <w:rsid w:val="0974F2EE"/>
    <w:rsid w:val="0AE1C3D6"/>
    <w:rsid w:val="0B31B382"/>
    <w:rsid w:val="0BF40291"/>
    <w:rsid w:val="0C398FA2"/>
    <w:rsid w:val="0CAFBD16"/>
    <w:rsid w:val="0E25F1B6"/>
    <w:rsid w:val="0E5790C5"/>
    <w:rsid w:val="0E85A306"/>
    <w:rsid w:val="0EF68453"/>
    <w:rsid w:val="0F2BF8BF"/>
    <w:rsid w:val="0F460885"/>
    <w:rsid w:val="0FCA3C0E"/>
    <w:rsid w:val="0FEBA021"/>
    <w:rsid w:val="108DF165"/>
    <w:rsid w:val="11A8E78E"/>
    <w:rsid w:val="12824DB2"/>
    <w:rsid w:val="133875BF"/>
    <w:rsid w:val="13B1FD72"/>
    <w:rsid w:val="14ADBAEF"/>
    <w:rsid w:val="14D9D55B"/>
    <w:rsid w:val="15DEBA96"/>
    <w:rsid w:val="16BF6997"/>
    <w:rsid w:val="1750F5BF"/>
    <w:rsid w:val="177FA69F"/>
    <w:rsid w:val="17BA4DF2"/>
    <w:rsid w:val="18A61240"/>
    <w:rsid w:val="19010839"/>
    <w:rsid w:val="1941DFC9"/>
    <w:rsid w:val="1A7CDD18"/>
    <w:rsid w:val="1AA38A35"/>
    <w:rsid w:val="1B650E22"/>
    <w:rsid w:val="1B6AFA37"/>
    <w:rsid w:val="1BFA1824"/>
    <w:rsid w:val="1CD5AE9A"/>
    <w:rsid w:val="1EC0C730"/>
    <w:rsid w:val="1F4D3D36"/>
    <w:rsid w:val="1FBE37D1"/>
    <w:rsid w:val="1FC76578"/>
    <w:rsid w:val="2034F733"/>
    <w:rsid w:val="20C9E9AB"/>
    <w:rsid w:val="212C5E99"/>
    <w:rsid w:val="21534EEE"/>
    <w:rsid w:val="216F0DFD"/>
    <w:rsid w:val="22973E28"/>
    <w:rsid w:val="22C140DF"/>
    <w:rsid w:val="22C41DA7"/>
    <w:rsid w:val="230B5A8A"/>
    <w:rsid w:val="23964BC8"/>
    <w:rsid w:val="24B4AA83"/>
    <w:rsid w:val="24F99C4B"/>
    <w:rsid w:val="2542C461"/>
    <w:rsid w:val="2594C4AC"/>
    <w:rsid w:val="25C92B93"/>
    <w:rsid w:val="2646EDD8"/>
    <w:rsid w:val="267C9EE1"/>
    <w:rsid w:val="26998C9A"/>
    <w:rsid w:val="26B50E58"/>
    <w:rsid w:val="2746EF84"/>
    <w:rsid w:val="278E66D1"/>
    <w:rsid w:val="27ED70EA"/>
    <w:rsid w:val="289DBA18"/>
    <w:rsid w:val="28ABE471"/>
    <w:rsid w:val="294B3D7B"/>
    <w:rsid w:val="29AAA5FD"/>
    <w:rsid w:val="2A306C36"/>
    <w:rsid w:val="2B0CD828"/>
    <w:rsid w:val="2BF773D9"/>
    <w:rsid w:val="2C91C046"/>
    <w:rsid w:val="2CE4A0E1"/>
    <w:rsid w:val="2D081DA9"/>
    <w:rsid w:val="2D5F7149"/>
    <w:rsid w:val="2E2A6911"/>
    <w:rsid w:val="2E419993"/>
    <w:rsid w:val="2F091EAF"/>
    <w:rsid w:val="2F1211FE"/>
    <w:rsid w:val="2F45C414"/>
    <w:rsid w:val="2F758CAB"/>
    <w:rsid w:val="2FA277B8"/>
    <w:rsid w:val="302AB239"/>
    <w:rsid w:val="30D182BC"/>
    <w:rsid w:val="32B2F199"/>
    <w:rsid w:val="33D87F2B"/>
    <w:rsid w:val="33FE9B89"/>
    <w:rsid w:val="349DB26D"/>
    <w:rsid w:val="350B28A6"/>
    <w:rsid w:val="35819062"/>
    <w:rsid w:val="3591AF90"/>
    <w:rsid w:val="35D400D9"/>
    <w:rsid w:val="363124DA"/>
    <w:rsid w:val="363965AB"/>
    <w:rsid w:val="365D1E8C"/>
    <w:rsid w:val="367382FE"/>
    <w:rsid w:val="36B44881"/>
    <w:rsid w:val="36CD2CAE"/>
    <w:rsid w:val="36E978F5"/>
    <w:rsid w:val="379DBAEE"/>
    <w:rsid w:val="37B2DBFE"/>
    <w:rsid w:val="3802FFF9"/>
    <w:rsid w:val="38283F2C"/>
    <w:rsid w:val="3834CD87"/>
    <w:rsid w:val="38D0D362"/>
    <w:rsid w:val="399C1AB8"/>
    <w:rsid w:val="3A70A3B8"/>
    <w:rsid w:val="3A9C616F"/>
    <w:rsid w:val="3AB23F73"/>
    <w:rsid w:val="3B0ADD4C"/>
    <w:rsid w:val="3BB0DF3C"/>
    <w:rsid w:val="3BDC36DF"/>
    <w:rsid w:val="3C17FA32"/>
    <w:rsid w:val="3D828BEF"/>
    <w:rsid w:val="3FB66AEA"/>
    <w:rsid w:val="3FEDFEB4"/>
    <w:rsid w:val="4121D61E"/>
    <w:rsid w:val="41242D4D"/>
    <w:rsid w:val="41D97854"/>
    <w:rsid w:val="41F7960C"/>
    <w:rsid w:val="422161A6"/>
    <w:rsid w:val="42B4A298"/>
    <w:rsid w:val="430B868B"/>
    <w:rsid w:val="431BCAFD"/>
    <w:rsid w:val="438FD13F"/>
    <w:rsid w:val="44782787"/>
    <w:rsid w:val="45E70CC5"/>
    <w:rsid w:val="4604CCDA"/>
    <w:rsid w:val="46A03659"/>
    <w:rsid w:val="47B032AC"/>
    <w:rsid w:val="47D465A0"/>
    <w:rsid w:val="483DE3B2"/>
    <w:rsid w:val="4865FFA2"/>
    <w:rsid w:val="488E5FD1"/>
    <w:rsid w:val="4971E490"/>
    <w:rsid w:val="49E87C16"/>
    <w:rsid w:val="4A78ACFA"/>
    <w:rsid w:val="4B8F3B65"/>
    <w:rsid w:val="4B909432"/>
    <w:rsid w:val="4BDA74BD"/>
    <w:rsid w:val="4CB1D8B4"/>
    <w:rsid w:val="4D38093C"/>
    <w:rsid w:val="4D43A130"/>
    <w:rsid w:val="4DDC549B"/>
    <w:rsid w:val="4EB089FC"/>
    <w:rsid w:val="4EE5C1A5"/>
    <w:rsid w:val="4F2BA08E"/>
    <w:rsid w:val="4F773EC1"/>
    <w:rsid w:val="4FA74BAC"/>
    <w:rsid w:val="50E08F7D"/>
    <w:rsid w:val="523AC093"/>
    <w:rsid w:val="52BE4A61"/>
    <w:rsid w:val="53109D0A"/>
    <w:rsid w:val="5363F397"/>
    <w:rsid w:val="5377FCC6"/>
    <w:rsid w:val="540FF63F"/>
    <w:rsid w:val="542678E0"/>
    <w:rsid w:val="54BE8671"/>
    <w:rsid w:val="55769869"/>
    <w:rsid w:val="56077CD6"/>
    <w:rsid w:val="587DD04C"/>
    <w:rsid w:val="58A4BD2F"/>
    <w:rsid w:val="59018B1B"/>
    <w:rsid w:val="591F49D0"/>
    <w:rsid w:val="59C066C3"/>
    <w:rsid w:val="5A4C9807"/>
    <w:rsid w:val="5AA541AB"/>
    <w:rsid w:val="5ADED722"/>
    <w:rsid w:val="5C0C577D"/>
    <w:rsid w:val="5C322429"/>
    <w:rsid w:val="5C410BEB"/>
    <w:rsid w:val="5C53ADBC"/>
    <w:rsid w:val="5DA6231E"/>
    <w:rsid w:val="5EA74B92"/>
    <w:rsid w:val="5F0F1AF3"/>
    <w:rsid w:val="5F8F5CC7"/>
    <w:rsid w:val="5FF57E6E"/>
    <w:rsid w:val="604AD877"/>
    <w:rsid w:val="609E0950"/>
    <w:rsid w:val="60B347A5"/>
    <w:rsid w:val="617F1893"/>
    <w:rsid w:val="61B091F6"/>
    <w:rsid w:val="624E0CE1"/>
    <w:rsid w:val="62584205"/>
    <w:rsid w:val="62C11849"/>
    <w:rsid w:val="63368DDD"/>
    <w:rsid w:val="6343659A"/>
    <w:rsid w:val="63608B33"/>
    <w:rsid w:val="6413DE13"/>
    <w:rsid w:val="645D0607"/>
    <w:rsid w:val="646F635C"/>
    <w:rsid w:val="648C6586"/>
    <w:rsid w:val="64A1EBCC"/>
    <w:rsid w:val="64CCC32D"/>
    <w:rsid w:val="64E519F8"/>
    <w:rsid w:val="65A7F8CB"/>
    <w:rsid w:val="6606F50E"/>
    <w:rsid w:val="663BC50C"/>
    <w:rsid w:val="668A7053"/>
    <w:rsid w:val="66A5482F"/>
    <w:rsid w:val="66B0BD83"/>
    <w:rsid w:val="67183423"/>
    <w:rsid w:val="672698DD"/>
    <w:rsid w:val="673D4C90"/>
    <w:rsid w:val="6767BBE5"/>
    <w:rsid w:val="6779F457"/>
    <w:rsid w:val="67B64629"/>
    <w:rsid w:val="67E3F7E2"/>
    <w:rsid w:val="693A4434"/>
    <w:rsid w:val="694EAAAF"/>
    <w:rsid w:val="69618ADD"/>
    <w:rsid w:val="6A04DED0"/>
    <w:rsid w:val="6A0B88C7"/>
    <w:rsid w:val="6A699510"/>
    <w:rsid w:val="6AB68EF9"/>
    <w:rsid w:val="6B417650"/>
    <w:rsid w:val="6B7F75F1"/>
    <w:rsid w:val="6C285F16"/>
    <w:rsid w:val="6C7C431F"/>
    <w:rsid w:val="6C86F68B"/>
    <w:rsid w:val="6CAE5361"/>
    <w:rsid w:val="6D41E4DF"/>
    <w:rsid w:val="6E21DDF4"/>
    <w:rsid w:val="6E764251"/>
    <w:rsid w:val="6E7ECA76"/>
    <w:rsid w:val="6EEB4659"/>
    <w:rsid w:val="6F4E98F2"/>
    <w:rsid w:val="6FDC9480"/>
    <w:rsid w:val="703CFFDA"/>
    <w:rsid w:val="70767D59"/>
    <w:rsid w:val="7086CEA6"/>
    <w:rsid w:val="70C889B9"/>
    <w:rsid w:val="70CAE31B"/>
    <w:rsid w:val="710E025E"/>
    <w:rsid w:val="7231B167"/>
    <w:rsid w:val="728F455B"/>
    <w:rsid w:val="72CF0D24"/>
    <w:rsid w:val="72EDC9B3"/>
    <w:rsid w:val="730718EE"/>
    <w:rsid w:val="747CE548"/>
    <w:rsid w:val="75346809"/>
    <w:rsid w:val="75A3D3A2"/>
    <w:rsid w:val="75CC7B28"/>
    <w:rsid w:val="75E72702"/>
    <w:rsid w:val="784C1A99"/>
    <w:rsid w:val="785A897E"/>
    <w:rsid w:val="798A70A2"/>
    <w:rsid w:val="798D6E57"/>
    <w:rsid w:val="79F23CFB"/>
    <w:rsid w:val="7AECCC96"/>
    <w:rsid w:val="7C3AB0DD"/>
    <w:rsid w:val="7C4CB04E"/>
    <w:rsid w:val="7D001B74"/>
    <w:rsid w:val="7D066A6F"/>
    <w:rsid w:val="7D287A0B"/>
    <w:rsid w:val="7E2D242D"/>
    <w:rsid w:val="7E3026E3"/>
    <w:rsid w:val="7E561F1D"/>
    <w:rsid w:val="7E611864"/>
    <w:rsid w:val="7E90F24C"/>
    <w:rsid w:val="7EFC684C"/>
    <w:rsid w:val="7F2E0DC6"/>
    <w:rsid w:val="7F3B20E8"/>
    <w:rsid w:val="7FD2FA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13AAB"/>
  <w14:defaultImageDpi w14:val="32767"/>
  <w15:chartTrackingRefBased/>
  <w15:docId w15:val="{09AE4415-EDF7-4B44-8FB1-8660A70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0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94D0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4D0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4D0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4D0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4D0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4D0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4D0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4D0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4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D0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4D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D0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4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4D00"/>
    <w:rPr>
      <w:i/>
      <w:iCs/>
      <w:color w:val="404040" w:themeColor="text1" w:themeTint="BF"/>
      <w:lang w:val="en-GB"/>
    </w:rPr>
  </w:style>
  <w:style w:type="paragraph" w:styleId="ListParagraph">
    <w:name w:val="List Paragraph"/>
    <w:basedOn w:val="Normal"/>
    <w:uiPriority w:val="34"/>
    <w:qFormat/>
    <w:rsid w:val="00B94D00"/>
    <w:pPr>
      <w:ind w:left="720"/>
      <w:contextualSpacing/>
    </w:pPr>
  </w:style>
  <w:style w:type="character" w:styleId="IntenseEmphasis">
    <w:name w:val="Intense Emphasis"/>
    <w:basedOn w:val="DefaultParagraphFont"/>
    <w:uiPriority w:val="21"/>
    <w:qFormat/>
    <w:rsid w:val="00B94D00"/>
    <w:rPr>
      <w:i/>
      <w:iCs/>
      <w:color w:val="0F4761" w:themeColor="accent1" w:themeShade="BF"/>
    </w:rPr>
  </w:style>
  <w:style w:type="paragraph" w:styleId="IntenseQuote">
    <w:name w:val="Intense Quote"/>
    <w:basedOn w:val="Normal"/>
    <w:next w:val="Normal"/>
    <w:link w:val="IntenseQuoteChar"/>
    <w:uiPriority w:val="30"/>
    <w:qFormat/>
    <w:rsid w:val="00B9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D00"/>
    <w:rPr>
      <w:i/>
      <w:iCs/>
      <w:color w:val="0F4761" w:themeColor="accent1" w:themeShade="BF"/>
      <w:lang w:val="en-GB"/>
    </w:rPr>
  </w:style>
  <w:style w:type="character" w:styleId="IntenseReference">
    <w:name w:val="Intense Reference"/>
    <w:basedOn w:val="DefaultParagraphFont"/>
    <w:uiPriority w:val="32"/>
    <w:qFormat/>
    <w:rsid w:val="00B94D00"/>
    <w:rPr>
      <w:b/>
      <w:bCs/>
      <w:smallCaps/>
      <w:color w:val="0F4761" w:themeColor="accent1" w:themeShade="BF"/>
      <w:spacing w:val="5"/>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basedOn w:val="DefaultParagraphFont"/>
    <w:link w:val="Header"/>
    <w:uiPriority w:val="99"/>
    <w:rsid w:val="00B94D00"/>
    <w:rPr>
      <w:lang w:val="en-GB"/>
    </w:rPr>
  </w:style>
  <w:style w:type="paragraph" w:styleId="Footer">
    <w:name w:val="footer"/>
    <w:basedOn w:val="Normal"/>
    <w:link w:val="FooterChar"/>
    <w:uiPriority w:val="99"/>
    <w:unhideWhenUsed/>
    <w:rsid w:val="00B94D00"/>
    <w:pPr>
      <w:tabs>
        <w:tab w:val="center" w:pos="4680"/>
        <w:tab w:val="right" w:pos="9360"/>
      </w:tabs>
    </w:pPr>
  </w:style>
  <w:style w:type="character" w:customStyle="1" w:styleId="FooterChar">
    <w:name w:val="Footer Char"/>
    <w:basedOn w:val="DefaultParagraphFont"/>
    <w:link w:val="Footer"/>
    <w:uiPriority w:val="99"/>
    <w:rsid w:val="00B94D00"/>
    <w:rPr>
      <w:lang w:val="en-GB"/>
    </w:rPr>
  </w:style>
  <w:style w:type="paragraph" w:styleId="NormalWeb">
    <w:name w:val="Normal (Web)"/>
    <w:basedOn w:val="Normal"/>
    <w:uiPriority w:val="99"/>
    <w:semiHidden/>
    <w:unhideWhenUsed/>
    <w:rsid w:val="00522F3C"/>
    <w:rPr>
      <w:rFonts w:ascii="Times New Roman" w:hAnsi="Times New Roman" w:cs="Times New Roman"/>
    </w:rPr>
  </w:style>
  <w:style w:type="paragraph" w:styleId="FootnoteText">
    <w:name w:val="footnote text"/>
    <w:basedOn w:val="Normal"/>
    <w:link w:val="FootnoteTextChar"/>
    <w:uiPriority w:val="99"/>
    <w:semiHidden/>
    <w:unhideWhenUsed/>
    <w:rsid w:val="00906F10"/>
    <w:rPr>
      <w:sz w:val="20"/>
      <w:szCs w:val="20"/>
    </w:rPr>
  </w:style>
  <w:style w:type="character" w:customStyle="1" w:styleId="FootnoteTextChar">
    <w:name w:val="Footnote Text Char"/>
    <w:basedOn w:val="DefaultParagraphFont"/>
    <w:link w:val="FootnoteText"/>
    <w:uiPriority w:val="99"/>
    <w:semiHidden/>
    <w:rsid w:val="00906F10"/>
    <w:rPr>
      <w:sz w:val="20"/>
      <w:szCs w:val="20"/>
      <w:lang w:val="en-GB"/>
    </w:rPr>
  </w:style>
  <w:style w:type="character" w:styleId="FootnoteReference">
    <w:name w:val="footnote reference"/>
    <w:basedOn w:val="DefaultParagraphFont"/>
    <w:uiPriority w:val="99"/>
    <w:semiHidden/>
    <w:unhideWhenUsed/>
    <w:rsid w:val="00906F10"/>
    <w:rPr>
      <w:vertAlign w:val="superscript"/>
    </w:rPr>
  </w:style>
  <w:style w:type="character" w:styleId="Hyperlink">
    <w:name w:val="Hyperlink"/>
    <w:basedOn w:val="DefaultParagraphFont"/>
    <w:uiPriority w:val="99"/>
    <w:unhideWhenUsed/>
    <w:rsid w:val="00906F10"/>
    <w:rPr>
      <w:color w:val="467886" w:themeColor="hyperlink"/>
      <w:u w:val="single"/>
    </w:rPr>
  </w:style>
  <w:style w:type="character" w:styleId="UnresolvedMention">
    <w:name w:val="Unresolved Mention"/>
    <w:basedOn w:val="DefaultParagraphFont"/>
    <w:uiPriority w:val="99"/>
    <w:rsid w:val="00906F10"/>
    <w:rPr>
      <w:color w:val="605E5C"/>
      <w:shd w:val="clear" w:color="auto" w:fill="E1DFDD"/>
    </w:rPr>
  </w:style>
  <w:style w:type="character" w:styleId="CommentReference">
    <w:name w:val="annotation reference"/>
    <w:basedOn w:val="DefaultParagraphFont"/>
    <w:uiPriority w:val="99"/>
    <w:semiHidden/>
    <w:unhideWhenUsed/>
    <w:rsid w:val="004C3A95"/>
    <w:rPr>
      <w:sz w:val="16"/>
      <w:szCs w:val="16"/>
    </w:rPr>
  </w:style>
  <w:style w:type="paragraph" w:styleId="CommentText">
    <w:name w:val="annotation text"/>
    <w:basedOn w:val="Normal"/>
    <w:link w:val="CommentTextChar"/>
    <w:uiPriority w:val="99"/>
    <w:semiHidden/>
    <w:unhideWhenUsed/>
    <w:rsid w:val="004C3A95"/>
    <w:rPr>
      <w:sz w:val="20"/>
      <w:szCs w:val="20"/>
    </w:rPr>
  </w:style>
  <w:style w:type="character" w:customStyle="1" w:styleId="CommentTextChar">
    <w:name w:val="Comment Text Char"/>
    <w:basedOn w:val="DefaultParagraphFont"/>
    <w:link w:val="CommentText"/>
    <w:uiPriority w:val="99"/>
    <w:semiHidden/>
    <w:rsid w:val="004C3A95"/>
    <w:rPr>
      <w:sz w:val="20"/>
      <w:szCs w:val="20"/>
      <w:lang w:val="en-GB"/>
    </w:rPr>
  </w:style>
  <w:style w:type="paragraph" w:styleId="CommentSubject">
    <w:name w:val="annotation subject"/>
    <w:basedOn w:val="CommentText"/>
    <w:next w:val="CommentText"/>
    <w:link w:val="CommentSubjectChar"/>
    <w:uiPriority w:val="99"/>
    <w:semiHidden/>
    <w:unhideWhenUsed/>
    <w:rsid w:val="004C3A95"/>
    <w:rPr>
      <w:b/>
      <w:bCs/>
    </w:rPr>
  </w:style>
  <w:style w:type="character" w:customStyle="1" w:styleId="CommentSubjectChar">
    <w:name w:val="Comment Subject Char"/>
    <w:basedOn w:val="CommentTextChar"/>
    <w:link w:val="CommentSubject"/>
    <w:uiPriority w:val="99"/>
    <w:semiHidden/>
    <w:rsid w:val="004C3A95"/>
    <w:rPr>
      <w:b/>
      <w:bCs/>
      <w:sz w:val="20"/>
      <w:szCs w:val="20"/>
      <w:lang w:val="en-GB"/>
    </w:rPr>
  </w:style>
  <w:style w:type="character" w:styleId="PageNumber">
    <w:name w:val="page number"/>
    <w:basedOn w:val="DefaultParagraphFont"/>
    <w:uiPriority w:val="99"/>
    <w:semiHidden/>
    <w:unhideWhenUsed/>
    <w:rsid w:val="0030719E"/>
  </w:style>
  <w:style w:type="numbering" w:customStyle="1" w:styleId="CurrentList1">
    <w:name w:val="Current List1"/>
    <w:uiPriority w:val="99"/>
    <w:rsid w:val="006357A1"/>
    <w:pPr>
      <w:numPr>
        <w:numId w:val="6"/>
      </w:numPr>
    </w:pPr>
  </w:style>
  <w:style w:type="paragraph" w:styleId="Revision">
    <w:name w:val="Revision"/>
    <w:hidden/>
    <w:uiPriority w:val="99"/>
    <w:semiHidden/>
    <w:rsid w:val="005268D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idh.org/en/region/europe-central-asia/france/france-decision-to-deny-entry-to-veteran-palestinian-human-rights" TargetMode="External"/><Relationship Id="rId13" Type="http://schemas.openxmlformats.org/officeDocument/2006/relationships/hyperlink" Target="https://www.amnesty.org/en/latest/news/2026/05/tunisia-dozens-of-ngos-at-risk-of-dissolution-as-crackdown-on-civil-society-intensifies/" TargetMode="External"/><Relationship Id="rId18" Type="http://schemas.openxmlformats.org/officeDocument/2006/relationships/hyperlink" Target="https://ihd.org.tr/en/wp-content/uploads/2022/05/OzturkTurkdogan_ATL-Report_OMCT_EN.pdf" TargetMode="External"/><Relationship Id="rId3" Type="http://schemas.openxmlformats.org/officeDocument/2006/relationships/hyperlink" Target="https://www.frontlinedefenders.org/en/resource-publication/global-analysis-202425" TargetMode="External"/><Relationship Id="rId7" Type="http://schemas.openxmlformats.org/officeDocument/2006/relationships/hyperlink" Target="https://www.amnesty.org/en/latest/news/2025/10/europe-human-rights-defenders-excluded-by-discriminatory-schengen-visa-system/" TargetMode="External"/><Relationship Id="rId12" Type="http://schemas.openxmlformats.org/officeDocument/2006/relationships/hyperlink" Target="https://srdefenders.org/turkiye-arbitrary-dissolution-of-the-genc-lgbti-association-and-criminal-charges-brought-against-multiple-human-rights-defenders-joint-communication/" TargetMode="External"/><Relationship Id="rId17" Type="http://schemas.openxmlformats.org/officeDocument/2006/relationships/hyperlink" Target="https://www.fidh.org/en/region/europe-central-asia/russia/russia-s-leading-human-rights-organisations-resist-dissolution-by-the" TargetMode="External"/><Relationship Id="rId2" Type="http://schemas.openxmlformats.org/officeDocument/2006/relationships/hyperlink" Target="https://euromedrights.org/news-turkey/" TargetMode="External"/><Relationship Id="rId16" Type="http://schemas.openxmlformats.org/officeDocument/2006/relationships/hyperlink" Target="https://www.fidh.org/en/region/europe-central-asia/turkey/turkey-closure-cases-against-associations-increasingly-used-to" TargetMode="External"/><Relationship Id="rId20" Type="http://schemas.openxmlformats.org/officeDocument/2006/relationships/hyperlink" Target="https://www.hscollective.org/assets/Final_R8-Foresight_.pdf" TargetMode="External"/><Relationship Id="rId1" Type="http://schemas.openxmlformats.org/officeDocument/2006/relationships/hyperlink" Target="https://euromedrights.org/about/" TargetMode="External"/><Relationship Id="rId6" Type="http://schemas.openxmlformats.org/officeDocument/2006/relationships/hyperlink" Target="https://ishr.ch/toolbox/resources/csw62-as-visa-restrictions-keep-defenders-away-ishr-launches-report-on-barriers-to-participation/" TargetMode="External"/><Relationship Id="rId11" Type="http://schemas.openxmlformats.org/officeDocument/2006/relationships/hyperlink" Target="https://www.amnesty.org/en/latest/news/2026/04/burkina-faso-dissolution-ngos/" TargetMode="External"/><Relationship Id="rId5" Type="http://schemas.openxmlformats.org/officeDocument/2006/relationships/hyperlink" Target="https://www.fidh.org/en/region/europe-central-asia/turkey/administrative-harassment-weaponised-to-silence-civil-society" TargetMode="External"/><Relationship Id="rId15" Type="http://schemas.openxmlformats.org/officeDocument/2006/relationships/hyperlink" Target="https://srdefenders.org/tajikistan-un-experts-criticise-dissolution-of-700-ngos-press-release/" TargetMode="External"/><Relationship Id="rId10" Type="http://schemas.openxmlformats.org/officeDocument/2006/relationships/hyperlink" Target="https://euromedrights.org/publication/new-report-on-the-damaging-impact-of-pro-government-ngos/" TargetMode="External"/><Relationship Id="rId19" Type="http://schemas.openxmlformats.org/officeDocument/2006/relationships/hyperlink" Target="https://www.amnesty.org/en/documents/eur44/4269/2021/en/" TargetMode="External"/><Relationship Id="rId4" Type="http://schemas.openxmlformats.org/officeDocument/2006/relationships/hyperlink" Target="https://www.frontlinedefenders.org/en/global-analysis-202526-hrd-memorial-list-and-killings-hrds" TargetMode="External"/><Relationship Id="rId9" Type="http://schemas.openxmlformats.org/officeDocument/2006/relationships/hyperlink" Target="https://ifade.org.tr/reports/SocialMediaReport.pdf" TargetMode="External"/><Relationship Id="rId14" Type="http://schemas.openxmlformats.org/officeDocument/2006/relationships/hyperlink" Target="https://www.ohchr.org/en/press-releases/2025/05/mali-dissolution-political-parties-step-wrong-direction-warn-un-expe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8" ma:contentTypeDescription="Create a new document." ma:contentTypeScope="" ma:versionID="4f54f9f6a248e739f6b91f81e69a9bd9">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79423660998357a52f4663bb061a1f51"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Emailsubject xmlns="fa1020ff-48ad-4b90-98f4-7161a6f3b630" xsi:nil="true"/>
    <Sentby xmlns="fa1020ff-48ad-4b90-98f4-7161a6f3b630">
      <UserInfo>
        <DisplayName/>
        <AccountId xsi:nil="true"/>
        <AccountType/>
      </UserInfo>
    </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4948-8996-4EFF-A20C-F9059289E492}"/>
</file>

<file path=customXml/itemProps2.xml><?xml version="1.0" encoding="utf-8"?>
<ds:datastoreItem xmlns:ds="http://schemas.openxmlformats.org/officeDocument/2006/customXml" ds:itemID="{A6BCAC9E-10C0-411B-A025-4DBA2893F85B}">
  <ds:schemaRefs>
    <ds:schemaRef ds:uri="http://schemas.microsoft.com/office/2006/metadata/properties"/>
    <ds:schemaRef ds:uri="http://schemas.microsoft.com/office/infopath/2007/PartnerControls"/>
    <ds:schemaRef ds:uri="b248d7e1-e1e1-4a8e-9310-749402edb8a9"/>
    <ds:schemaRef ds:uri="985ec44e-1bab-4c0b-9df0-6ba128686fc9"/>
    <ds:schemaRef ds:uri="11a6fe0c-d8de-4390-afb3-d9c7c54181f0"/>
  </ds:schemaRefs>
</ds:datastoreItem>
</file>

<file path=customXml/itemProps3.xml><?xml version="1.0" encoding="utf-8"?>
<ds:datastoreItem xmlns:ds="http://schemas.openxmlformats.org/officeDocument/2006/customXml" ds:itemID="{4E2E10BA-E9F1-41EC-8C0A-AE0B1F8DE5E3}">
  <ds:schemaRefs>
    <ds:schemaRef ds:uri="http://schemas.microsoft.com/sharepoint/v3/contenttype/forms"/>
  </ds:schemaRefs>
</ds:datastoreItem>
</file>

<file path=customXml/itemProps4.xml><?xml version="1.0" encoding="utf-8"?>
<ds:datastoreItem xmlns:ds="http://schemas.openxmlformats.org/officeDocument/2006/customXml" ds:itemID="{5469CD06-91CE-D24D-8FAB-59C392AD854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3340</Words>
  <Characters>19043</Characters>
  <Application>Microsoft Office Word</Application>
  <DocSecurity>0</DocSecurity>
  <Lines>158</Lines>
  <Paragraphs>44</Paragraphs>
  <ScaleCrop>false</ScaleCrop>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 Guley</dc:creator>
  <cp:keywords/>
  <dc:description/>
  <cp:lastModifiedBy>Hannah Bruinsma</cp:lastModifiedBy>
  <cp:revision>6</cp:revision>
  <dcterms:created xsi:type="dcterms:W3CDTF">2026-06-26T07:37:00Z</dcterms:created>
  <dcterms:modified xsi:type="dcterms:W3CDTF">2026-07-02T15:02:00Z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MediaServiceImageTags">
    <vt:lpwstr/>
  </property>
</Properties>
</file>