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5F03" w14:textId="77777777" w:rsidR="00557F4F" w:rsidRDefault="00F62FC6">
      <w:pPr>
        <w:widowControl w:val="0"/>
        <w:spacing w:before="7" w:after="0" w:line="240" w:lineRule="auto"/>
        <w:jc w:val="center"/>
      </w:pPr>
      <w:r>
        <w:t xml:space="preserve"> </w:t>
      </w:r>
    </w:p>
    <w:p w14:paraId="46115F04" w14:textId="77777777" w:rsidR="00557F4F" w:rsidRDefault="00557F4F">
      <w:pPr>
        <w:widowControl w:val="0"/>
        <w:spacing w:before="7" w:after="0" w:line="240" w:lineRule="auto"/>
        <w:jc w:val="center"/>
      </w:pPr>
    </w:p>
    <w:p w14:paraId="46115F05" w14:textId="77777777" w:rsidR="00557F4F" w:rsidRDefault="00557F4F">
      <w:pPr>
        <w:widowControl w:val="0"/>
        <w:spacing w:before="7" w:after="0" w:line="240" w:lineRule="auto"/>
        <w:jc w:val="center"/>
      </w:pPr>
    </w:p>
    <w:p w14:paraId="46115F06" w14:textId="77777777" w:rsidR="00557F4F" w:rsidRDefault="00F62FC6">
      <w:pPr>
        <w:widowControl w:val="0"/>
        <w:spacing w:before="7" w:after="0" w:line="240" w:lineRule="auto"/>
        <w:jc w:val="center"/>
      </w:pPr>
      <w:r>
        <w:rPr>
          <w:noProof/>
        </w:rPr>
        <w:drawing>
          <wp:inline distT="0" distB="0" distL="0" distR="0" wp14:anchorId="46115F67" wp14:editId="46115F68">
            <wp:extent cx="1562100" cy="1600200"/>
            <wp:effectExtent l="0" t="0" r="0" b="0"/>
            <wp:docPr id="2044224972" name="image2.png" descr="Une image contenant Graphique, Police, graphisme, conceptio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Graphique, Police, graphisme, conception&#10;&#10;Description générée automatiquement"/>
                    <pic:cNvPicPr preferRelativeResize="0"/>
                  </pic:nvPicPr>
                  <pic:blipFill>
                    <a:blip r:embed="rId8"/>
                    <a:srcRect/>
                    <a:stretch>
                      <a:fillRect/>
                    </a:stretch>
                  </pic:blipFill>
                  <pic:spPr>
                    <a:xfrm>
                      <a:off x="0" y="0"/>
                      <a:ext cx="1562100" cy="1600200"/>
                    </a:xfrm>
                    <a:prstGeom prst="rect">
                      <a:avLst/>
                    </a:prstGeom>
                    <a:ln/>
                  </pic:spPr>
                </pic:pic>
              </a:graphicData>
            </a:graphic>
          </wp:inline>
        </w:drawing>
      </w:r>
      <w:r>
        <w:br/>
      </w:r>
    </w:p>
    <w:p w14:paraId="46115F07" w14:textId="77777777" w:rsidR="00557F4F" w:rsidRDefault="00557F4F">
      <w:pPr>
        <w:widowControl w:val="0"/>
        <w:spacing w:before="7" w:after="0" w:line="240" w:lineRule="auto"/>
        <w:jc w:val="center"/>
      </w:pPr>
    </w:p>
    <w:p w14:paraId="46115F08" w14:textId="77777777" w:rsidR="00557F4F" w:rsidRDefault="00557F4F">
      <w:pPr>
        <w:widowControl w:val="0"/>
        <w:spacing w:before="7" w:after="0" w:line="240" w:lineRule="auto"/>
        <w:jc w:val="center"/>
      </w:pPr>
    </w:p>
    <w:p w14:paraId="46115F09" w14:textId="77777777" w:rsidR="00557F4F" w:rsidRDefault="00F62FC6">
      <w:pPr>
        <w:widowControl w:val="0"/>
        <w:spacing w:before="9" w:after="0" w:line="240" w:lineRule="auto"/>
        <w:jc w:val="center"/>
        <w:rPr>
          <w:rFonts w:ascii="Arial" w:eastAsia="Arial" w:hAnsi="Arial" w:cs="Arial"/>
          <w:b/>
          <w:color w:val="2E75B5"/>
          <w:sz w:val="40"/>
          <w:szCs w:val="40"/>
        </w:rPr>
      </w:pPr>
      <w:r>
        <w:rPr>
          <w:rFonts w:ascii="Arial" w:eastAsia="Arial" w:hAnsi="Arial" w:cs="Arial"/>
          <w:b/>
          <w:color w:val="2E75B5"/>
          <w:sz w:val="40"/>
          <w:szCs w:val="40"/>
        </w:rPr>
        <w:t xml:space="preserve"> </w:t>
      </w:r>
    </w:p>
    <w:p w14:paraId="46115F0A" w14:textId="77777777" w:rsidR="00557F4F" w:rsidRDefault="00F62FC6">
      <w:pPr>
        <w:widowControl w:val="0"/>
        <w:spacing w:before="9" w:after="0" w:line="240" w:lineRule="auto"/>
        <w:jc w:val="center"/>
        <w:rPr>
          <w:rFonts w:ascii="Arial" w:eastAsia="Arial" w:hAnsi="Arial" w:cs="Arial"/>
          <w:b/>
          <w:color w:val="2E75B5"/>
          <w:sz w:val="40"/>
          <w:szCs w:val="40"/>
        </w:rPr>
      </w:pPr>
      <w:r>
        <w:rPr>
          <w:rFonts w:ascii="Arial" w:eastAsia="Arial" w:hAnsi="Arial" w:cs="Arial"/>
          <w:b/>
          <w:color w:val="2E75B5"/>
          <w:sz w:val="40"/>
          <w:szCs w:val="40"/>
        </w:rPr>
        <w:t xml:space="preserve">Call for </w:t>
      </w:r>
      <w:proofErr w:type="gramStart"/>
      <w:r>
        <w:rPr>
          <w:rFonts w:ascii="Arial" w:eastAsia="Arial" w:hAnsi="Arial" w:cs="Arial"/>
          <w:b/>
          <w:color w:val="2E75B5"/>
          <w:sz w:val="40"/>
          <w:szCs w:val="40"/>
        </w:rPr>
        <w:t>proposals</w:t>
      </w:r>
      <w:proofErr w:type="gramEnd"/>
      <w:r>
        <w:rPr>
          <w:rFonts w:ascii="Arial" w:eastAsia="Arial" w:hAnsi="Arial" w:cs="Arial"/>
          <w:b/>
          <w:color w:val="2E75B5"/>
          <w:sz w:val="40"/>
          <w:szCs w:val="40"/>
        </w:rPr>
        <w:t xml:space="preserve">  </w:t>
      </w:r>
    </w:p>
    <w:p w14:paraId="46115F0B" w14:textId="77777777" w:rsidR="00557F4F" w:rsidRDefault="00557F4F">
      <w:pPr>
        <w:widowControl w:val="0"/>
        <w:spacing w:before="9" w:after="0" w:line="240" w:lineRule="auto"/>
        <w:jc w:val="center"/>
        <w:rPr>
          <w:rFonts w:ascii="Arial" w:eastAsia="Arial" w:hAnsi="Arial" w:cs="Arial"/>
          <w:b/>
          <w:color w:val="2E75B5"/>
          <w:sz w:val="40"/>
          <w:szCs w:val="40"/>
        </w:rPr>
      </w:pPr>
    </w:p>
    <w:p w14:paraId="46115F0C" w14:textId="77777777" w:rsidR="00557F4F" w:rsidRDefault="00F62FC6">
      <w:pPr>
        <w:widowControl w:val="0"/>
        <w:spacing w:before="9" w:after="0" w:line="240" w:lineRule="auto"/>
        <w:jc w:val="center"/>
        <w:rPr>
          <w:rFonts w:ascii="Arial" w:eastAsia="Arial" w:hAnsi="Arial" w:cs="Arial"/>
          <w:b/>
          <w:color w:val="2E75B5"/>
          <w:sz w:val="40"/>
          <w:szCs w:val="40"/>
        </w:rPr>
      </w:pPr>
      <w:proofErr w:type="spellStart"/>
      <w:r>
        <w:rPr>
          <w:rFonts w:ascii="Arial" w:eastAsia="Arial" w:hAnsi="Arial" w:cs="Arial"/>
          <w:b/>
          <w:color w:val="2E75B5"/>
          <w:sz w:val="40"/>
          <w:szCs w:val="40"/>
        </w:rPr>
        <w:t>Majalat</w:t>
      </w:r>
      <w:proofErr w:type="spellEnd"/>
      <w:r>
        <w:rPr>
          <w:rFonts w:ascii="Arial" w:eastAsia="Arial" w:hAnsi="Arial" w:cs="Arial"/>
          <w:b/>
          <w:color w:val="2E75B5"/>
          <w:sz w:val="40"/>
          <w:szCs w:val="40"/>
        </w:rPr>
        <w:t xml:space="preserve"> II Consortium</w:t>
      </w:r>
    </w:p>
    <w:p w14:paraId="46115F0D" w14:textId="77777777" w:rsidR="00557F4F" w:rsidRDefault="00F62FC6">
      <w:pPr>
        <w:widowControl w:val="0"/>
        <w:spacing w:before="9" w:after="0" w:line="240" w:lineRule="auto"/>
        <w:jc w:val="center"/>
        <w:rPr>
          <w:rFonts w:ascii="Arial" w:eastAsia="Arial" w:hAnsi="Arial" w:cs="Arial"/>
          <w:b/>
          <w:color w:val="2E75B5"/>
          <w:sz w:val="40"/>
          <w:szCs w:val="40"/>
        </w:rPr>
      </w:pPr>
      <w:r>
        <w:rPr>
          <w:rFonts w:ascii="Arial" w:eastAsia="Arial" w:hAnsi="Arial" w:cs="Arial"/>
          <w:b/>
          <w:color w:val="2E75B5"/>
          <w:sz w:val="40"/>
          <w:szCs w:val="40"/>
        </w:rPr>
        <w:t xml:space="preserve"> </w:t>
      </w:r>
    </w:p>
    <w:p w14:paraId="46115F0E" w14:textId="77777777" w:rsidR="00557F4F" w:rsidRDefault="00F62FC6">
      <w:pPr>
        <w:widowControl w:val="0"/>
        <w:spacing w:before="9" w:after="0" w:line="240" w:lineRule="auto"/>
        <w:jc w:val="center"/>
        <w:rPr>
          <w:rFonts w:ascii="Arial" w:eastAsia="Arial" w:hAnsi="Arial" w:cs="Arial"/>
          <w:i/>
          <w:color w:val="2E75B5"/>
          <w:sz w:val="40"/>
          <w:szCs w:val="40"/>
        </w:rPr>
      </w:pPr>
      <w:r>
        <w:rPr>
          <w:rFonts w:ascii="Arial" w:eastAsia="Arial" w:hAnsi="Arial" w:cs="Arial"/>
          <w:i/>
          <w:color w:val="2E75B5"/>
          <w:sz w:val="40"/>
          <w:szCs w:val="40"/>
        </w:rPr>
        <w:t xml:space="preserve">Fostering the structured dialogue with civil society in the Southern Mediterranean countries and the EU </w:t>
      </w:r>
    </w:p>
    <w:p w14:paraId="46115F0F" w14:textId="77777777" w:rsidR="00557F4F" w:rsidRDefault="00557F4F">
      <w:pPr>
        <w:widowControl w:val="0"/>
        <w:spacing w:before="9" w:after="0" w:line="240" w:lineRule="auto"/>
        <w:jc w:val="center"/>
        <w:rPr>
          <w:rFonts w:ascii="Arial" w:eastAsia="Arial" w:hAnsi="Arial" w:cs="Arial"/>
          <w:i/>
          <w:color w:val="2E75B5"/>
          <w:sz w:val="40"/>
          <w:szCs w:val="40"/>
        </w:rPr>
      </w:pPr>
    </w:p>
    <w:p w14:paraId="46115F10" w14:textId="77777777" w:rsidR="00557F4F" w:rsidRDefault="00557F4F">
      <w:pPr>
        <w:widowControl w:val="0"/>
        <w:spacing w:before="9" w:after="0" w:line="240" w:lineRule="auto"/>
        <w:jc w:val="center"/>
        <w:rPr>
          <w:rFonts w:ascii="Arial" w:eastAsia="Arial" w:hAnsi="Arial" w:cs="Arial"/>
          <w:b/>
          <w:color w:val="2E75B5"/>
          <w:sz w:val="40"/>
          <w:szCs w:val="40"/>
        </w:rPr>
      </w:pPr>
    </w:p>
    <w:p w14:paraId="46115F11" w14:textId="77777777" w:rsidR="00557F4F" w:rsidRDefault="00557F4F">
      <w:pPr>
        <w:widowControl w:val="0"/>
        <w:spacing w:before="9" w:after="0" w:line="240" w:lineRule="auto"/>
        <w:jc w:val="center"/>
        <w:rPr>
          <w:rFonts w:ascii="Arial" w:eastAsia="Arial" w:hAnsi="Arial" w:cs="Arial"/>
          <w:b/>
          <w:color w:val="2E75B5"/>
          <w:sz w:val="40"/>
          <w:szCs w:val="40"/>
        </w:rPr>
      </w:pPr>
    </w:p>
    <w:p w14:paraId="46115F12" w14:textId="77777777" w:rsidR="00557F4F" w:rsidRDefault="00557F4F">
      <w:pPr>
        <w:widowControl w:val="0"/>
        <w:spacing w:before="9" w:after="0" w:line="240" w:lineRule="auto"/>
        <w:jc w:val="center"/>
        <w:rPr>
          <w:rFonts w:ascii="Arial" w:eastAsia="Arial" w:hAnsi="Arial" w:cs="Arial"/>
          <w:b/>
          <w:color w:val="2E75B5"/>
          <w:sz w:val="40"/>
          <w:szCs w:val="40"/>
        </w:rPr>
      </w:pPr>
    </w:p>
    <w:p w14:paraId="46115F13" w14:textId="77777777" w:rsidR="00557F4F" w:rsidRDefault="00F62FC6">
      <w:pPr>
        <w:widowControl w:val="0"/>
        <w:spacing w:before="9" w:after="0" w:line="240" w:lineRule="auto"/>
        <w:jc w:val="center"/>
        <w:rPr>
          <w:rFonts w:ascii="Arial" w:eastAsia="Arial" w:hAnsi="Arial" w:cs="Arial"/>
          <w:color w:val="2E75B5"/>
          <w:sz w:val="40"/>
          <w:szCs w:val="40"/>
        </w:rPr>
      </w:pPr>
      <w:r>
        <w:rPr>
          <w:rFonts w:ascii="Arial" w:eastAsia="Arial" w:hAnsi="Arial" w:cs="Arial"/>
          <w:color w:val="2E75B5"/>
          <w:sz w:val="40"/>
          <w:szCs w:val="40"/>
        </w:rPr>
        <w:t xml:space="preserve">Deadline for submission of </w:t>
      </w:r>
      <w:proofErr w:type="gramStart"/>
      <w:r>
        <w:rPr>
          <w:rFonts w:ascii="Arial" w:eastAsia="Arial" w:hAnsi="Arial" w:cs="Arial"/>
          <w:color w:val="2E75B5"/>
          <w:sz w:val="40"/>
          <w:szCs w:val="40"/>
        </w:rPr>
        <w:t>applications :</w:t>
      </w:r>
      <w:proofErr w:type="gramEnd"/>
      <w:r>
        <w:rPr>
          <w:rFonts w:ascii="Arial" w:eastAsia="Arial" w:hAnsi="Arial" w:cs="Arial"/>
          <w:color w:val="2E75B5"/>
          <w:sz w:val="40"/>
          <w:szCs w:val="40"/>
        </w:rPr>
        <w:t xml:space="preserve"> </w:t>
      </w:r>
    </w:p>
    <w:p w14:paraId="46115F14" w14:textId="77777777" w:rsidR="00557F4F" w:rsidRDefault="00F62FC6">
      <w:pPr>
        <w:widowControl w:val="0"/>
        <w:spacing w:before="9" w:after="0" w:line="240" w:lineRule="auto"/>
        <w:jc w:val="center"/>
        <w:rPr>
          <w:sz w:val="40"/>
          <w:szCs w:val="40"/>
        </w:rPr>
      </w:pPr>
      <w:r>
        <w:rPr>
          <w:sz w:val="40"/>
          <w:szCs w:val="40"/>
        </w:rPr>
        <w:t xml:space="preserve"> </w:t>
      </w:r>
    </w:p>
    <w:p w14:paraId="46115F15" w14:textId="77777777" w:rsidR="00557F4F" w:rsidRDefault="00F62FC6">
      <w:pPr>
        <w:widowControl w:val="0"/>
        <w:spacing w:before="9" w:after="0" w:line="240" w:lineRule="auto"/>
        <w:jc w:val="center"/>
        <w:rPr>
          <w:b/>
          <w:color w:val="FF0000"/>
          <w:sz w:val="40"/>
          <w:szCs w:val="40"/>
        </w:rPr>
      </w:pPr>
      <w:r>
        <w:rPr>
          <w:b/>
          <w:color w:val="FF0000"/>
          <w:sz w:val="40"/>
          <w:szCs w:val="40"/>
        </w:rPr>
        <w:t>10/03/2024 at 23:59 (CET time)</w:t>
      </w:r>
    </w:p>
    <w:p w14:paraId="46115F16" w14:textId="77777777" w:rsidR="00557F4F" w:rsidRDefault="00557F4F">
      <w:pPr>
        <w:widowControl w:val="0"/>
        <w:spacing w:before="9" w:after="0" w:line="240" w:lineRule="auto"/>
        <w:jc w:val="center"/>
        <w:rPr>
          <w:b/>
          <w:color w:val="FF0000"/>
          <w:sz w:val="40"/>
          <w:szCs w:val="40"/>
        </w:rPr>
      </w:pPr>
    </w:p>
    <w:p w14:paraId="46115F17" w14:textId="77777777" w:rsidR="00557F4F" w:rsidRDefault="00557F4F">
      <w:pPr>
        <w:widowControl w:val="0"/>
        <w:spacing w:before="9" w:after="0" w:line="240" w:lineRule="auto"/>
        <w:jc w:val="center"/>
        <w:rPr>
          <w:b/>
          <w:color w:val="FF0000"/>
          <w:sz w:val="40"/>
          <w:szCs w:val="40"/>
        </w:rPr>
      </w:pPr>
    </w:p>
    <w:p w14:paraId="46115F18" w14:textId="77777777" w:rsidR="00557F4F" w:rsidRDefault="00557F4F">
      <w:pPr>
        <w:widowControl w:val="0"/>
        <w:spacing w:before="9" w:after="0" w:line="240" w:lineRule="auto"/>
        <w:jc w:val="center"/>
        <w:rPr>
          <w:b/>
          <w:color w:val="FF0000"/>
          <w:sz w:val="40"/>
          <w:szCs w:val="40"/>
        </w:rPr>
      </w:pPr>
    </w:p>
    <w:p w14:paraId="46115F19" w14:textId="77777777" w:rsidR="00557F4F" w:rsidRDefault="00F62FC6">
      <w:pPr>
        <w:widowControl w:val="0"/>
        <w:spacing w:before="9" w:after="0" w:line="240" w:lineRule="auto"/>
        <w:rPr>
          <w:rFonts w:ascii="Arial" w:eastAsia="Arial" w:hAnsi="Arial" w:cs="Arial"/>
          <w:b/>
          <w:i/>
          <w:u w:val="single"/>
        </w:rPr>
      </w:pPr>
      <w:r>
        <w:rPr>
          <w:rFonts w:ascii="Arial" w:eastAsia="Arial" w:hAnsi="Arial" w:cs="Arial"/>
          <w:b/>
          <w:i/>
          <w:u w:val="single"/>
        </w:rPr>
        <w:t>Context:</w:t>
      </w:r>
    </w:p>
    <w:p w14:paraId="46115F1A" w14:textId="77777777" w:rsidR="00557F4F" w:rsidRDefault="00557F4F">
      <w:pPr>
        <w:widowControl w:val="0"/>
        <w:spacing w:after="0" w:line="240" w:lineRule="auto"/>
        <w:jc w:val="both"/>
        <w:rPr>
          <w:b/>
          <w:i/>
          <w:u w:val="single"/>
        </w:rPr>
      </w:pPr>
    </w:p>
    <w:p w14:paraId="46115F1B" w14:textId="77777777" w:rsidR="00557F4F" w:rsidRDefault="00F62FC6">
      <w:pPr>
        <w:widowControl w:val="0"/>
        <w:spacing w:after="0" w:line="240" w:lineRule="auto"/>
        <w:jc w:val="both"/>
        <w:rPr>
          <w:rFonts w:ascii="Arial" w:eastAsia="Arial" w:hAnsi="Arial" w:cs="Arial"/>
          <w:color w:val="000000"/>
        </w:rPr>
      </w:pPr>
      <w:r>
        <w:rPr>
          <w:rFonts w:ascii="Arial" w:eastAsia="Arial" w:hAnsi="Arial" w:cs="Arial"/>
          <w:color w:val="000000"/>
        </w:rPr>
        <w:t xml:space="preserve">The situation following the 2011 </w:t>
      </w:r>
      <w:r>
        <w:rPr>
          <w:rFonts w:ascii="Arial" w:eastAsia="Arial" w:hAnsi="Arial" w:cs="Arial"/>
        </w:rPr>
        <w:t>revolutions in most</w:t>
      </w:r>
      <w:r>
        <w:rPr>
          <w:rFonts w:ascii="Arial" w:eastAsia="Arial" w:hAnsi="Arial" w:cs="Arial"/>
          <w:color w:val="000000"/>
        </w:rPr>
        <w:t xml:space="preserve"> of the countries in the Middle East and North Africa (MENA) has</w:t>
      </w:r>
      <w:r>
        <w:rPr>
          <w:rFonts w:ascii="Arial" w:eastAsia="Arial" w:hAnsi="Arial" w:cs="Arial"/>
        </w:rPr>
        <w:t xml:space="preserve"> been</w:t>
      </w:r>
      <w:r>
        <w:rPr>
          <w:rFonts w:ascii="Arial" w:eastAsia="Arial" w:hAnsi="Arial" w:cs="Arial"/>
          <w:color w:val="000000"/>
        </w:rPr>
        <w:t xml:space="preserve"> characterized increasingly by an unstable environment, conflicts, limited separation of powers and the rule of law. The climate crisis, global inflation, and pandemics have further exacerbated underlying inequalities and structural vulnerabilities. Populist and authoritarian regimes are gaining ground, riding on social tensions and economic crisis, a trend reflected in Europe. Civil society </w:t>
      </w:r>
      <w:proofErr w:type="spellStart"/>
      <w:r>
        <w:rPr>
          <w:rFonts w:ascii="Arial" w:eastAsia="Arial" w:hAnsi="Arial" w:cs="Arial"/>
          <w:color w:val="000000"/>
        </w:rPr>
        <w:t>organisations</w:t>
      </w:r>
      <w:proofErr w:type="spellEnd"/>
      <w:r>
        <w:rPr>
          <w:rFonts w:ascii="Arial" w:eastAsia="Arial" w:hAnsi="Arial" w:cs="Arial"/>
          <w:color w:val="000000"/>
        </w:rPr>
        <w:t xml:space="preserve"> and activists i</w:t>
      </w:r>
      <w:r>
        <w:rPr>
          <w:rFonts w:ascii="Arial" w:eastAsia="Arial" w:hAnsi="Arial" w:cs="Arial"/>
          <w:color w:val="000000"/>
        </w:rPr>
        <w:t xml:space="preserve">n the region are increasingly subjected to frequent attacks and face various forms of restrictions on their political action, such as legal obstacles, asset freezing, review and conditionality of funding, restrictions on movement and freedom of expression, public defamation campaigns, legal proceedings, and imprisonment. </w:t>
      </w:r>
    </w:p>
    <w:p w14:paraId="46115F1C" w14:textId="77777777" w:rsidR="00557F4F" w:rsidRDefault="00557F4F">
      <w:pPr>
        <w:widowControl w:val="0"/>
        <w:spacing w:after="0" w:line="240" w:lineRule="auto"/>
        <w:jc w:val="both"/>
        <w:rPr>
          <w:rFonts w:ascii="Arial" w:eastAsia="Arial" w:hAnsi="Arial" w:cs="Arial"/>
        </w:rPr>
      </w:pPr>
    </w:p>
    <w:p w14:paraId="46115F1D" w14:textId="77777777" w:rsidR="00557F4F" w:rsidRDefault="00F62FC6">
      <w:pPr>
        <w:widowControl w:val="0"/>
        <w:spacing w:after="0" w:line="240" w:lineRule="auto"/>
        <w:jc w:val="both"/>
        <w:rPr>
          <w:rFonts w:ascii="Arial" w:eastAsia="Arial" w:hAnsi="Arial" w:cs="Arial"/>
          <w:b/>
          <w:i/>
          <w:u w:val="single"/>
        </w:rPr>
      </w:pPr>
      <w:r>
        <w:rPr>
          <w:rFonts w:ascii="Arial" w:eastAsia="Arial" w:hAnsi="Arial" w:cs="Arial"/>
          <w:b/>
          <w:i/>
          <w:u w:val="single"/>
        </w:rPr>
        <w:t xml:space="preserve">About MAJALAT II: </w:t>
      </w:r>
    </w:p>
    <w:p w14:paraId="46115F1E" w14:textId="77777777" w:rsidR="00557F4F" w:rsidRDefault="00557F4F">
      <w:pPr>
        <w:widowControl w:val="0"/>
        <w:spacing w:after="0" w:line="240" w:lineRule="auto"/>
        <w:jc w:val="both"/>
        <w:rPr>
          <w:rFonts w:ascii="Arial" w:eastAsia="Arial" w:hAnsi="Arial" w:cs="Arial"/>
        </w:rPr>
      </w:pPr>
    </w:p>
    <w:p w14:paraId="46115F1F" w14:textId="77777777" w:rsidR="00557F4F" w:rsidRDefault="00F62FC6">
      <w:pPr>
        <w:widowControl w:val="0"/>
        <w:spacing w:after="0" w:line="240" w:lineRule="auto"/>
        <w:jc w:val="both"/>
        <w:rPr>
          <w:rFonts w:ascii="Arial" w:eastAsia="Arial" w:hAnsi="Arial" w:cs="Arial"/>
          <w:color w:val="000000"/>
        </w:rPr>
      </w:pPr>
      <w:r>
        <w:rPr>
          <w:rFonts w:ascii="Arial" w:eastAsia="Arial" w:hAnsi="Arial" w:cs="Arial"/>
        </w:rPr>
        <w:t xml:space="preserve">In the context of the multiple political, social, economic, and environmental challenges affecting the Euro-Mediterranean region, MAJALAT II seeks to facilitate the development of a safe and conducive environment for civil society actors from the Southern Mediterranean countries (CSOs, social movements, </w:t>
      </w:r>
      <w:proofErr w:type="gramStart"/>
      <w:r>
        <w:rPr>
          <w:rFonts w:ascii="Arial" w:eastAsia="Arial" w:hAnsi="Arial" w:cs="Arial"/>
        </w:rPr>
        <w:t>academics</w:t>
      </w:r>
      <w:proofErr w:type="gramEnd"/>
      <w:r>
        <w:rPr>
          <w:rFonts w:ascii="Arial" w:eastAsia="Arial" w:hAnsi="Arial" w:cs="Arial"/>
        </w:rPr>
        <w:t xml:space="preserve"> and activists) to engage in constructive dialogue with public authorities. </w:t>
      </w:r>
    </w:p>
    <w:p w14:paraId="46115F20" w14:textId="77777777" w:rsidR="00557F4F" w:rsidRDefault="00557F4F">
      <w:pPr>
        <w:widowControl w:val="0"/>
        <w:spacing w:after="0" w:line="240" w:lineRule="auto"/>
        <w:jc w:val="both"/>
        <w:rPr>
          <w:b/>
          <w:i/>
          <w:u w:val="single"/>
        </w:rPr>
      </w:pPr>
    </w:p>
    <w:p w14:paraId="46115F21" w14:textId="77777777" w:rsidR="00557F4F" w:rsidRDefault="00F62FC6">
      <w:pPr>
        <w:spacing w:after="200" w:line="240" w:lineRule="auto"/>
        <w:jc w:val="both"/>
        <w:rPr>
          <w:rFonts w:ascii="Arial" w:eastAsia="Arial" w:hAnsi="Arial" w:cs="Arial"/>
          <w:color w:val="000000"/>
        </w:rPr>
      </w:pPr>
      <w:hyperlink r:id="rId9">
        <w:r>
          <w:rPr>
            <w:rFonts w:ascii="Arial" w:eastAsia="Arial" w:hAnsi="Arial" w:cs="Arial"/>
            <w:b/>
            <w:color w:val="1155CC"/>
            <w:u w:val="single"/>
          </w:rPr>
          <w:t>MAJALAT II</w:t>
        </w:r>
      </w:hyperlink>
      <w:r>
        <w:rPr>
          <w:rFonts w:ascii="Arial" w:eastAsia="Arial" w:hAnsi="Arial" w:cs="Arial"/>
          <w:color w:val="000000"/>
        </w:rPr>
        <w:t xml:space="preserve"> is a three-year regional initiative (2023-2025) that is </w:t>
      </w:r>
      <w:r>
        <w:rPr>
          <w:rFonts w:ascii="Arial" w:eastAsia="Arial" w:hAnsi="Arial" w:cs="Arial"/>
        </w:rPr>
        <w:t>part of the Civil Society Facility for the Mediterranean and is co-funded by the European Union</w:t>
      </w:r>
      <w:r>
        <w:rPr>
          <w:rFonts w:ascii="Arial" w:eastAsia="Arial" w:hAnsi="Arial" w:cs="Arial"/>
          <w:color w:val="000000"/>
        </w:rPr>
        <w:t xml:space="preserve">. </w:t>
      </w:r>
      <w:r>
        <w:rPr>
          <w:rFonts w:ascii="Arial" w:eastAsia="Arial" w:hAnsi="Arial" w:cs="Arial"/>
        </w:rPr>
        <w:t>The project is</w:t>
      </w:r>
      <w:r>
        <w:rPr>
          <w:rFonts w:ascii="Arial" w:eastAsia="Arial" w:hAnsi="Arial" w:cs="Arial"/>
          <w:color w:val="000000"/>
        </w:rPr>
        <w:t xml:space="preserve"> led by a Consortium of civil society </w:t>
      </w:r>
      <w:proofErr w:type="spellStart"/>
      <w:r>
        <w:rPr>
          <w:rFonts w:ascii="Arial" w:eastAsia="Arial" w:hAnsi="Arial" w:cs="Arial"/>
          <w:color w:val="000000"/>
        </w:rPr>
        <w:t>organisations</w:t>
      </w:r>
      <w:proofErr w:type="spellEnd"/>
      <w:r>
        <w:rPr>
          <w:rFonts w:ascii="Arial" w:eastAsia="Arial" w:hAnsi="Arial" w:cs="Arial"/>
          <w:color w:val="000000"/>
        </w:rPr>
        <w:t xml:space="preserve"> and networks in the Euro-Mediterranean region: </w:t>
      </w:r>
      <w:hyperlink r:id="rId10">
        <w:proofErr w:type="spellStart"/>
        <w:r>
          <w:rPr>
            <w:rFonts w:ascii="Arial" w:eastAsia="Arial" w:hAnsi="Arial" w:cs="Arial"/>
            <w:color w:val="0563C1"/>
            <w:u w:val="single"/>
          </w:rPr>
          <w:t>EuroMed</w:t>
        </w:r>
        <w:proofErr w:type="spellEnd"/>
        <w:r>
          <w:rPr>
            <w:rFonts w:ascii="Arial" w:eastAsia="Arial" w:hAnsi="Arial" w:cs="Arial"/>
            <w:color w:val="0563C1"/>
            <w:u w:val="single"/>
          </w:rPr>
          <w:t xml:space="preserve"> Rights (EMR)</w:t>
        </w:r>
      </w:hyperlink>
      <w:r>
        <w:rPr>
          <w:rFonts w:ascii="Arial" w:eastAsia="Arial" w:hAnsi="Arial" w:cs="Arial"/>
          <w:color w:val="000000"/>
        </w:rPr>
        <w:t xml:space="preserve">, </w:t>
      </w:r>
      <w:hyperlink r:id="rId11">
        <w:r>
          <w:rPr>
            <w:rFonts w:ascii="Arial" w:eastAsia="Arial" w:hAnsi="Arial" w:cs="Arial"/>
            <w:color w:val="0563C1"/>
            <w:u w:val="single"/>
          </w:rPr>
          <w:t>Forum Alternatives du Maroc (FMAS)</w:t>
        </w:r>
      </w:hyperlink>
      <w:r>
        <w:rPr>
          <w:rFonts w:ascii="Arial" w:eastAsia="Arial" w:hAnsi="Arial" w:cs="Arial"/>
          <w:color w:val="000000"/>
        </w:rPr>
        <w:t xml:space="preserve"> and </w:t>
      </w:r>
      <w:hyperlink r:id="rId12">
        <w:r>
          <w:rPr>
            <w:rFonts w:ascii="Arial" w:eastAsia="Arial" w:hAnsi="Arial" w:cs="Arial"/>
            <w:color w:val="0563C1"/>
            <w:u w:val="single"/>
          </w:rPr>
          <w:t>Legal Agenda (LA)</w:t>
        </w:r>
      </w:hyperlink>
      <w:r>
        <w:rPr>
          <w:rFonts w:ascii="Arial" w:eastAsia="Arial" w:hAnsi="Arial" w:cs="Arial"/>
          <w:color w:val="000000"/>
        </w:rPr>
        <w:t xml:space="preserve">.  </w:t>
      </w:r>
    </w:p>
    <w:p w14:paraId="46115F22" w14:textId="77777777" w:rsidR="00557F4F" w:rsidRDefault="00F62FC6">
      <w:pPr>
        <w:spacing w:before="31" w:after="0" w:line="240" w:lineRule="auto"/>
        <w:ind w:right="280"/>
        <w:jc w:val="both"/>
        <w:rPr>
          <w:rFonts w:ascii="Arial" w:eastAsia="Arial" w:hAnsi="Arial" w:cs="Arial"/>
          <w:b/>
          <w:i/>
          <w:u w:val="single"/>
        </w:rPr>
      </w:pPr>
      <w:r>
        <w:rPr>
          <w:rFonts w:ascii="Arial" w:eastAsia="Arial" w:hAnsi="Arial" w:cs="Arial"/>
          <w:b/>
          <w:i/>
          <w:u w:val="single"/>
        </w:rPr>
        <w:t>Thematic Objectives and Priorities:</w:t>
      </w:r>
    </w:p>
    <w:p w14:paraId="46115F23" w14:textId="77777777" w:rsidR="00557F4F" w:rsidRDefault="00557F4F">
      <w:pPr>
        <w:spacing w:before="31" w:after="0" w:line="240" w:lineRule="auto"/>
        <w:ind w:right="280"/>
        <w:jc w:val="both"/>
        <w:rPr>
          <w:b/>
          <w:i/>
          <w:color w:val="000000"/>
        </w:rPr>
      </w:pPr>
    </w:p>
    <w:p w14:paraId="46115F24" w14:textId="77777777" w:rsidR="00557F4F" w:rsidRDefault="00F62FC6">
      <w:pPr>
        <w:spacing w:after="200" w:line="240" w:lineRule="auto"/>
        <w:jc w:val="both"/>
        <w:rPr>
          <w:rFonts w:ascii="Arial" w:eastAsia="Arial" w:hAnsi="Arial" w:cs="Arial"/>
          <w:color w:val="000000"/>
        </w:rPr>
      </w:pPr>
      <w:r>
        <w:rPr>
          <w:rFonts w:ascii="Arial" w:eastAsia="Arial" w:hAnsi="Arial" w:cs="Arial"/>
        </w:rPr>
        <w:t xml:space="preserve">This Call for Proposals aims to support CSOs from Southern Mediterranean countries in monitoring national and regional policies, conducting research, organizing events and producing key expertise to inform evidence-based </w:t>
      </w:r>
      <w:proofErr w:type="gramStart"/>
      <w:r>
        <w:rPr>
          <w:rFonts w:ascii="Arial" w:eastAsia="Arial" w:hAnsi="Arial" w:cs="Arial"/>
        </w:rPr>
        <w:t>policy-making</w:t>
      </w:r>
      <w:proofErr w:type="gramEnd"/>
      <w:r>
        <w:rPr>
          <w:rFonts w:ascii="Arial" w:eastAsia="Arial" w:hAnsi="Arial" w:cs="Arial"/>
        </w:rPr>
        <w:t xml:space="preserve"> and respect for human rights, with a view to strengthening their participation in national and regional dialogue processes, including with the European Union.</w:t>
      </w:r>
    </w:p>
    <w:p w14:paraId="46115F25" w14:textId="77777777" w:rsidR="00557F4F" w:rsidRDefault="00F62FC6">
      <w:pPr>
        <w:spacing w:after="200" w:line="240" w:lineRule="auto"/>
        <w:jc w:val="both"/>
        <w:rPr>
          <w:color w:val="000000"/>
        </w:rPr>
      </w:pPr>
      <w:r>
        <w:rPr>
          <w:rFonts w:ascii="Arial" w:eastAsia="Arial" w:hAnsi="Arial" w:cs="Arial"/>
          <w:color w:val="000000"/>
        </w:rPr>
        <w:t xml:space="preserve">The </w:t>
      </w:r>
      <w:proofErr w:type="spellStart"/>
      <w:r>
        <w:rPr>
          <w:rFonts w:ascii="Arial" w:eastAsia="Arial" w:hAnsi="Arial" w:cs="Arial"/>
          <w:color w:val="000000"/>
        </w:rPr>
        <w:t>subgranting</w:t>
      </w:r>
      <w:proofErr w:type="spellEnd"/>
      <w:r>
        <w:rPr>
          <w:rFonts w:ascii="Arial" w:eastAsia="Arial" w:hAnsi="Arial" w:cs="Arial"/>
          <w:color w:val="000000"/>
        </w:rPr>
        <w:t xml:space="preserve"> </w:t>
      </w:r>
      <w:proofErr w:type="spellStart"/>
      <w:r>
        <w:rPr>
          <w:rFonts w:ascii="Arial" w:eastAsia="Arial" w:hAnsi="Arial" w:cs="Arial"/>
          <w:color w:val="000000"/>
        </w:rPr>
        <w:t>programme</w:t>
      </w:r>
      <w:proofErr w:type="spellEnd"/>
      <w:r>
        <w:rPr>
          <w:rFonts w:ascii="Arial" w:eastAsia="Arial" w:hAnsi="Arial" w:cs="Arial"/>
          <w:color w:val="000000"/>
        </w:rPr>
        <w:t xml:space="preserve"> will comprise </w:t>
      </w:r>
      <w:r>
        <w:rPr>
          <w:rFonts w:ascii="Arial" w:eastAsia="Arial" w:hAnsi="Arial" w:cs="Arial"/>
          <w:b/>
          <w:color w:val="000000"/>
        </w:rPr>
        <w:t>up to</w:t>
      </w:r>
      <w:r>
        <w:rPr>
          <w:rFonts w:ascii="Arial" w:eastAsia="Arial" w:hAnsi="Arial" w:cs="Arial"/>
          <w:color w:val="000000"/>
        </w:rPr>
        <w:t xml:space="preserve"> </w:t>
      </w:r>
      <w:r>
        <w:rPr>
          <w:rFonts w:ascii="Arial" w:eastAsia="Arial" w:hAnsi="Arial" w:cs="Arial"/>
          <w:b/>
          <w:color w:val="000000"/>
        </w:rPr>
        <w:t>20 small grants</w:t>
      </w:r>
      <w:r>
        <w:rPr>
          <w:rFonts w:ascii="Arial" w:eastAsia="Arial" w:hAnsi="Arial" w:cs="Arial"/>
          <w:color w:val="000000"/>
        </w:rPr>
        <w:t xml:space="preserve"> to fund projects linked to the three target themes of the MAJALAT II project: </w:t>
      </w:r>
      <w:r>
        <w:rPr>
          <w:color w:val="000000"/>
        </w:rPr>
        <w:t xml:space="preserve"> </w:t>
      </w:r>
    </w:p>
    <w:p w14:paraId="46115F26" w14:textId="77777777" w:rsidR="00557F4F" w:rsidRDefault="00F62FC6">
      <w:pPr>
        <w:widowControl w:val="0"/>
        <w:numPr>
          <w:ilvl w:val="0"/>
          <w:numId w:val="7"/>
        </w:numPr>
        <w:pBdr>
          <w:top w:val="nil"/>
          <w:left w:val="nil"/>
          <w:bottom w:val="nil"/>
          <w:right w:val="nil"/>
          <w:between w:val="nil"/>
        </w:pBdr>
        <w:spacing w:after="200" w:line="240" w:lineRule="auto"/>
        <w:jc w:val="both"/>
        <w:rPr>
          <w:rFonts w:ascii="Arial" w:eastAsia="Arial" w:hAnsi="Arial" w:cs="Arial"/>
          <w:b/>
          <w:color w:val="000000"/>
        </w:rPr>
      </w:pPr>
      <w:r>
        <w:rPr>
          <w:rFonts w:ascii="Arial" w:eastAsia="Arial" w:hAnsi="Arial" w:cs="Arial"/>
          <w:b/>
          <w:color w:val="000000"/>
        </w:rPr>
        <w:t xml:space="preserve">Good governance, rule of law and human rights </w:t>
      </w:r>
    </w:p>
    <w:p w14:paraId="46115F27" w14:textId="77777777" w:rsidR="00557F4F" w:rsidRDefault="00F62FC6">
      <w:pPr>
        <w:widowControl w:val="0"/>
        <w:numPr>
          <w:ilvl w:val="0"/>
          <w:numId w:val="7"/>
        </w:numPr>
        <w:pBdr>
          <w:top w:val="nil"/>
          <w:left w:val="nil"/>
          <w:bottom w:val="nil"/>
          <w:right w:val="nil"/>
          <w:between w:val="nil"/>
        </w:pBdr>
        <w:spacing w:after="200" w:line="240" w:lineRule="auto"/>
        <w:jc w:val="both"/>
        <w:rPr>
          <w:rFonts w:ascii="Arial" w:eastAsia="Arial" w:hAnsi="Arial" w:cs="Arial"/>
          <w:b/>
          <w:color w:val="000000"/>
        </w:rPr>
      </w:pPr>
      <w:r>
        <w:rPr>
          <w:rFonts w:ascii="Arial" w:eastAsia="Arial" w:hAnsi="Arial" w:cs="Arial"/>
          <w:b/>
          <w:color w:val="000000"/>
        </w:rPr>
        <w:t xml:space="preserve">Climate change and social justice </w:t>
      </w:r>
    </w:p>
    <w:p w14:paraId="46115F28" w14:textId="77777777" w:rsidR="00557F4F" w:rsidRDefault="00F62FC6">
      <w:pPr>
        <w:widowControl w:val="0"/>
        <w:numPr>
          <w:ilvl w:val="0"/>
          <w:numId w:val="7"/>
        </w:numPr>
        <w:pBdr>
          <w:top w:val="nil"/>
          <w:left w:val="nil"/>
          <w:bottom w:val="nil"/>
          <w:right w:val="nil"/>
          <w:between w:val="nil"/>
        </w:pBdr>
        <w:spacing w:after="200" w:line="240" w:lineRule="auto"/>
        <w:jc w:val="both"/>
        <w:rPr>
          <w:rFonts w:ascii="Arial" w:eastAsia="Arial" w:hAnsi="Arial" w:cs="Arial"/>
          <w:b/>
          <w:color w:val="000000"/>
        </w:rPr>
      </w:pPr>
      <w:r>
        <w:rPr>
          <w:rFonts w:ascii="Arial" w:eastAsia="Arial" w:hAnsi="Arial" w:cs="Arial"/>
          <w:b/>
          <w:color w:val="000000"/>
        </w:rPr>
        <w:lastRenderedPageBreak/>
        <w:t xml:space="preserve">Independence and transparency of the </w:t>
      </w:r>
      <w:proofErr w:type="spellStart"/>
      <w:r>
        <w:rPr>
          <w:rFonts w:ascii="Arial" w:eastAsia="Arial" w:hAnsi="Arial" w:cs="Arial"/>
          <w:b/>
          <w:color w:val="000000"/>
        </w:rPr>
        <w:t>judiciairy</w:t>
      </w:r>
      <w:proofErr w:type="spellEnd"/>
      <w:r>
        <w:rPr>
          <w:rFonts w:ascii="Arial" w:eastAsia="Arial" w:hAnsi="Arial" w:cs="Arial"/>
          <w:b/>
          <w:color w:val="000000"/>
        </w:rPr>
        <w:t xml:space="preserve"> </w:t>
      </w:r>
    </w:p>
    <w:p w14:paraId="46115F29" w14:textId="77777777" w:rsidR="00557F4F" w:rsidRDefault="00F62FC6">
      <w:pPr>
        <w:spacing w:after="200" w:line="240" w:lineRule="auto"/>
        <w:jc w:val="both"/>
        <w:rPr>
          <w:rFonts w:ascii="Arial" w:eastAsia="Arial" w:hAnsi="Arial" w:cs="Arial"/>
          <w:color w:val="000000"/>
        </w:rPr>
      </w:pPr>
      <w:r>
        <w:rPr>
          <w:rFonts w:ascii="Arial" w:eastAsia="Arial" w:hAnsi="Arial" w:cs="Arial"/>
          <w:color w:val="000000"/>
        </w:rPr>
        <w:t xml:space="preserve">Over one year (June 2024-June 2025), the MAJALAT II </w:t>
      </w:r>
      <w:proofErr w:type="spellStart"/>
      <w:r>
        <w:rPr>
          <w:rFonts w:ascii="Arial" w:eastAsia="Arial" w:hAnsi="Arial" w:cs="Arial"/>
          <w:color w:val="000000"/>
        </w:rPr>
        <w:t>subgranting</w:t>
      </w:r>
      <w:proofErr w:type="spellEnd"/>
      <w:r>
        <w:rPr>
          <w:rFonts w:ascii="Arial" w:eastAsia="Arial" w:hAnsi="Arial" w:cs="Arial"/>
          <w:color w:val="000000"/>
        </w:rPr>
        <w:t xml:space="preserve"> program will aim to support the following type of actions:  </w:t>
      </w:r>
    </w:p>
    <w:p w14:paraId="46115F2A" w14:textId="77777777" w:rsidR="00557F4F" w:rsidRDefault="00F62FC6">
      <w:pPr>
        <w:widowControl w:val="0"/>
        <w:numPr>
          <w:ilvl w:val="0"/>
          <w:numId w:val="6"/>
        </w:numPr>
        <w:pBdr>
          <w:top w:val="nil"/>
          <w:left w:val="nil"/>
          <w:bottom w:val="nil"/>
          <w:right w:val="nil"/>
          <w:between w:val="nil"/>
        </w:pBdr>
        <w:spacing w:before="1" w:after="200" w:line="240" w:lineRule="auto"/>
        <w:jc w:val="both"/>
        <w:rPr>
          <w:rFonts w:ascii="Arial" w:eastAsia="Arial" w:hAnsi="Arial" w:cs="Arial"/>
          <w:color w:val="000000"/>
        </w:rPr>
      </w:pPr>
      <w:r>
        <w:rPr>
          <w:rFonts w:ascii="Arial" w:eastAsia="Arial" w:hAnsi="Arial" w:cs="Arial"/>
          <w:color w:val="000000"/>
        </w:rPr>
        <w:t xml:space="preserve">Monitoring of public authorities and private entities, as well as local, </w:t>
      </w:r>
      <w:proofErr w:type="gramStart"/>
      <w:r>
        <w:rPr>
          <w:rFonts w:ascii="Arial" w:eastAsia="Arial" w:hAnsi="Arial" w:cs="Arial"/>
          <w:color w:val="000000"/>
        </w:rPr>
        <w:t>national</w:t>
      </w:r>
      <w:proofErr w:type="gramEnd"/>
      <w:r>
        <w:rPr>
          <w:rFonts w:ascii="Arial" w:eastAsia="Arial" w:hAnsi="Arial" w:cs="Arial"/>
          <w:color w:val="000000"/>
        </w:rPr>
        <w:t xml:space="preserve"> and regional policies and legislative initiatives,</w:t>
      </w:r>
    </w:p>
    <w:p w14:paraId="46115F2B" w14:textId="77777777" w:rsidR="00557F4F" w:rsidRDefault="00F62FC6">
      <w:pPr>
        <w:widowControl w:val="0"/>
        <w:numPr>
          <w:ilvl w:val="0"/>
          <w:numId w:val="6"/>
        </w:numPr>
        <w:pBdr>
          <w:top w:val="nil"/>
          <w:left w:val="nil"/>
          <w:bottom w:val="nil"/>
          <w:right w:val="nil"/>
          <w:between w:val="nil"/>
        </w:pBdr>
        <w:spacing w:before="1" w:after="200" w:line="240" w:lineRule="auto"/>
        <w:jc w:val="both"/>
        <w:rPr>
          <w:rFonts w:ascii="Arial" w:eastAsia="Arial" w:hAnsi="Arial" w:cs="Arial"/>
          <w:color w:val="000000"/>
        </w:rPr>
      </w:pPr>
      <w:r>
        <w:rPr>
          <w:rFonts w:ascii="Arial" w:eastAsia="Arial" w:hAnsi="Arial" w:cs="Arial"/>
          <w:color w:val="000000"/>
        </w:rPr>
        <w:t xml:space="preserve">Production of studies, reports, policy briefs (and other) that contribute to advocacy initiatives, multi-stakeholder dialogue and evidence-based policy </w:t>
      </w:r>
      <w:proofErr w:type="gramStart"/>
      <w:r>
        <w:rPr>
          <w:rFonts w:ascii="Arial" w:eastAsia="Arial" w:hAnsi="Arial" w:cs="Arial"/>
          <w:color w:val="000000"/>
        </w:rPr>
        <w:t>development;</w:t>
      </w:r>
      <w:proofErr w:type="gramEnd"/>
      <w:r>
        <w:rPr>
          <w:rFonts w:ascii="Arial" w:eastAsia="Arial" w:hAnsi="Arial" w:cs="Arial"/>
          <w:color w:val="000000"/>
        </w:rPr>
        <w:t xml:space="preserve">  </w:t>
      </w:r>
    </w:p>
    <w:p w14:paraId="46115F2C" w14:textId="77777777" w:rsidR="00557F4F" w:rsidRDefault="00F62FC6">
      <w:pPr>
        <w:widowControl w:val="0"/>
        <w:numPr>
          <w:ilvl w:val="0"/>
          <w:numId w:val="5"/>
        </w:numPr>
        <w:pBdr>
          <w:top w:val="nil"/>
          <w:left w:val="nil"/>
          <w:bottom w:val="nil"/>
          <w:right w:val="nil"/>
          <w:between w:val="nil"/>
        </w:pBdr>
        <w:spacing w:before="1" w:after="200" w:line="240" w:lineRule="auto"/>
        <w:jc w:val="both"/>
        <w:rPr>
          <w:rFonts w:ascii="Arial" w:eastAsia="Arial" w:hAnsi="Arial" w:cs="Arial"/>
          <w:color w:val="000000"/>
        </w:rPr>
      </w:pPr>
      <w:r>
        <w:rPr>
          <w:rFonts w:ascii="Arial" w:eastAsia="Arial" w:hAnsi="Arial" w:cs="Arial"/>
          <w:color w:val="000000"/>
        </w:rPr>
        <w:t>Networking activities and events (workshops/conferences/seminars/seminars/</w:t>
      </w:r>
      <w:proofErr w:type="gramStart"/>
      <w:r>
        <w:rPr>
          <w:rFonts w:ascii="Arial" w:eastAsia="Arial" w:hAnsi="Arial" w:cs="Arial"/>
          <w:color w:val="000000"/>
        </w:rPr>
        <w:t>small localized</w:t>
      </w:r>
      <w:proofErr w:type="gramEnd"/>
      <w:r>
        <w:rPr>
          <w:rFonts w:ascii="Arial" w:eastAsia="Arial" w:hAnsi="Arial" w:cs="Arial"/>
          <w:color w:val="000000"/>
        </w:rPr>
        <w:t xml:space="preserve"> actions) that facilitate policy dialogue at local, national, regional and EU levels.</w:t>
      </w:r>
    </w:p>
    <w:p w14:paraId="46115F2D" w14:textId="77777777" w:rsidR="00557F4F" w:rsidRDefault="00F62FC6">
      <w:pPr>
        <w:widowControl w:val="0"/>
        <w:numPr>
          <w:ilvl w:val="0"/>
          <w:numId w:val="5"/>
        </w:numPr>
        <w:pBdr>
          <w:top w:val="nil"/>
          <w:left w:val="nil"/>
          <w:bottom w:val="nil"/>
          <w:right w:val="nil"/>
          <w:between w:val="nil"/>
        </w:pBdr>
        <w:spacing w:before="1" w:after="200" w:line="240" w:lineRule="auto"/>
        <w:jc w:val="both"/>
        <w:rPr>
          <w:rFonts w:ascii="Arial" w:eastAsia="Arial" w:hAnsi="Arial" w:cs="Arial"/>
          <w:color w:val="000000"/>
        </w:rPr>
      </w:pPr>
      <w:r>
        <w:rPr>
          <w:rFonts w:ascii="Arial" w:eastAsia="Arial" w:hAnsi="Arial" w:cs="Arial"/>
          <w:color w:val="000000"/>
        </w:rPr>
        <w:t>Coalition and capacity building activities that can amplify advocacy messages and policy inputs, as well as stimulate multi-stakeholder engagement.</w:t>
      </w:r>
    </w:p>
    <w:p w14:paraId="46115F2E" w14:textId="77777777" w:rsidR="00557F4F" w:rsidRDefault="00F62FC6">
      <w:pPr>
        <w:spacing w:after="200" w:line="240" w:lineRule="auto"/>
        <w:jc w:val="both"/>
        <w:rPr>
          <w:rFonts w:ascii="Arial" w:eastAsia="Arial" w:hAnsi="Arial" w:cs="Arial"/>
          <w:color w:val="000000"/>
        </w:rPr>
      </w:pPr>
      <w:r>
        <w:rPr>
          <w:rFonts w:ascii="Arial" w:eastAsia="Arial" w:hAnsi="Arial" w:cs="Arial"/>
          <w:color w:val="000000"/>
        </w:rPr>
        <w:t xml:space="preserve">The following actions are not considered under this Call:  </w:t>
      </w:r>
    </w:p>
    <w:p w14:paraId="46115F2F" w14:textId="77777777" w:rsidR="00557F4F" w:rsidRDefault="00F62FC6">
      <w:pPr>
        <w:spacing w:after="200" w:line="240" w:lineRule="auto"/>
        <w:jc w:val="both"/>
        <w:rPr>
          <w:rFonts w:ascii="Arial" w:eastAsia="Arial" w:hAnsi="Arial" w:cs="Arial"/>
          <w:color w:val="000000"/>
        </w:rPr>
      </w:pPr>
      <w:r>
        <w:rPr>
          <w:rFonts w:ascii="Arial" w:eastAsia="Arial" w:hAnsi="Arial" w:cs="Arial"/>
          <w:color w:val="000000"/>
        </w:rPr>
        <w:t xml:space="preserve">- Projects that are not related to the three thematic areas listed above </w:t>
      </w:r>
    </w:p>
    <w:p w14:paraId="46115F30" w14:textId="77777777" w:rsidR="00557F4F" w:rsidRDefault="00F62FC6">
      <w:pPr>
        <w:spacing w:after="200" w:line="240" w:lineRule="auto"/>
        <w:jc w:val="both"/>
        <w:rPr>
          <w:rFonts w:ascii="Arial" w:eastAsia="Arial" w:hAnsi="Arial" w:cs="Arial"/>
          <w:color w:val="000000"/>
        </w:rPr>
      </w:pPr>
      <w:r>
        <w:rPr>
          <w:rFonts w:ascii="Arial" w:eastAsia="Arial" w:hAnsi="Arial" w:cs="Arial"/>
          <w:color w:val="000000"/>
        </w:rPr>
        <w:t>- Projects that fill a funding gap in existing activities or programs.</w:t>
      </w:r>
    </w:p>
    <w:p w14:paraId="46115F31" w14:textId="77777777" w:rsidR="00557F4F" w:rsidRDefault="00F62FC6">
      <w:pPr>
        <w:spacing w:after="200" w:line="240" w:lineRule="auto"/>
        <w:jc w:val="both"/>
        <w:rPr>
          <w:rFonts w:ascii="Arial" w:eastAsia="Arial" w:hAnsi="Arial" w:cs="Arial"/>
          <w:i/>
          <w:color w:val="000000"/>
        </w:rPr>
      </w:pPr>
      <w:r>
        <w:rPr>
          <w:rFonts w:ascii="Arial" w:eastAsia="Arial" w:hAnsi="Arial" w:cs="Arial"/>
          <w:i/>
          <w:color w:val="000000"/>
        </w:rPr>
        <w:t xml:space="preserve">Particular attention will be paid to applications that can demonstrate innovation and added value, as well as a gender-sensitive approach and the inclusion towards youth, </w:t>
      </w:r>
      <w:proofErr w:type="gramStart"/>
      <w:r>
        <w:rPr>
          <w:rFonts w:ascii="Arial" w:eastAsia="Arial" w:hAnsi="Arial" w:cs="Arial"/>
          <w:i/>
          <w:color w:val="000000"/>
        </w:rPr>
        <w:t>minorities</w:t>
      </w:r>
      <w:proofErr w:type="gramEnd"/>
      <w:r>
        <w:rPr>
          <w:rFonts w:ascii="Arial" w:eastAsia="Arial" w:hAnsi="Arial" w:cs="Arial"/>
          <w:i/>
          <w:color w:val="000000"/>
        </w:rPr>
        <w:t xml:space="preserve"> and rural populations. </w:t>
      </w:r>
    </w:p>
    <w:p w14:paraId="46115F32" w14:textId="77777777" w:rsidR="00557F4F" w:rsidRDefault="00F62FC6">
      <w:pPr>
        <w:pBdr>
          <w:top w:val="nil"/>
          <w:left w:val="nil"/>
          <w:bottom w:val="nil"/>
          <w:right w:val="nil"/>
          <w:between w:val="nil"/>
        </w:pBdr>
        <w:spacing w:after="200" w:line="240" w:lineRule="auto"/>
        <w:jc w:val="both"/>
        <w:rPr>
          <w:rFonts w:ascii="Arial" w:eastAsia="Arial" w:hAnsi="Arial" w:cs="Arial"/>
          <w:b/>
          <w:i/>
          <w:color w:val="000000"/>
          <w:u w:val="single"/>
        </w:rPr>
      </w:pPr>
      <w:r>
        <w:rPr>
          <w:rFonts w:ascii="Arial" w:eastAsia="Arial" w:hAnsi="Arial" w:cs="Arial"/>
          <w:b/>
          <w:i/>
          <w:color w:val="000000"/>
          <w:u w:val="single"/>
        </w:rPr>
        <w:t>Eligibility criteria:</w:t>
      </w:r>
    </w:p>
    <w:p w14:paraId="46115F33" w14:textId="77777777" w:rsidR="00557F4F" w:rsidRDefault="00F62FC6">
      <w:pPr>
        <w:spacing w:before="31" w:after="0" w:line="240" w:lineRule="auto"/>
        <w:ind w:right="293"/>
        <w:jc w:val="both"/>
        <w:rPr>
          <w:rFonts w:ascii="Arial" w:eastAsia="Arial" w:hAnsi="Arial" w:cs="Arial"/>
          <w:b/>
        </w:rPr>
      </w:pPr>
      <w:r>
        <w:rPr>
          <w:rFonts w:ascii="Arial" w:eastAsia="Arial" w:hAnsi="Arial" w:cs="Arial"/>
          <w:b/>
        </w:rPr>
        <w:t xml:space="preserve">Geographic scope: </w:t>
      </w:r>
    </w:p>
    <w:p w14:paraId="46115F34" w14:textId="77777777" w:rsidR="00557F4F" w:rsidRDefault="00557F4F">
      <w:pPr>
        <w:spacing w:before="31" w:after="0" w:line="240" w:lineRule="auto"/>
        <w:ind w:right="293"/>
        <w:jc w:val="both"/>
        <w:rPr>
          <w:b/>
          <w:i/>
          <w:u w:val="single"/>
        </w:rPr>
      </w:pPr>
    </w:p>
    <w:p w14:paraId="46115F35" w14:textId="77777777" w:rsidR="00557F4F" w:rsidRDefault="00F62FC6">
      <w:pPr>
        <w:spacing w:after="200" w:line="240" w:lineRule="auto"/>
        <w:jc w:val="both"/>
      </w:pPr>
      <w:r>
        <w:rPr>
          <w:rFonts w:ascii="Arial" w:eastAsia="Arial" w:hAnsi="Arial" w:cs="Arial"/>
        </w:rPr>
        <w:t>This Call for Proposals covers the</w:t>
      </w:r>
      <w:r>
        <w:rPr>
          <w:rFonts w:ascii="Arial" w:eastAsia="Arial" w:hAnsi="Arial" w:cs="Arial"/>
          <w:b/>
        </w:rPr>
        <w:t xml:space="preserve"> Southern Mediterranean countries</w:t>
      </w:r>
      <w:r>
        <w:rPr>
          <w:rFonts w:ascii="Arial" w:eastAsia="Arial" w:hAnsi="Arial" w:cs="Arial"/>
        </w:rPr>
        <w:t xml:space="preserve">. </w:t>
      </w:r>
    </w:p>
    <w:p w14:paraId="46115F36" w14:textId="77777777" w:rsidR="00557F4F" w:rsidRDefault="00F62FC6">
      <w:pPr>
        <w:spacing w:before="30" w:after="0" w:line="240" w:lineRule="auto"/>
        <w:ind w:right="152"/>
        <w:jc w:val="both"/>
        <w:rPr>
          <w:rFonts w:ascii="Arial" w:eastAsia="Arial" w:hAnsi="Arial" w:cs="Arial"/>
          <w:b/>
          <w:i/>
          <w:color w:val="2F5496"/>
        </w:rPr>
      </w:pPr>
      <w:r>
        <w:rPr>
          <w:rFonts w:ascii="Arial" w:eastAsia="Arial" w:hAnsi="Arial" w:cs="Arial"/>
          <w:b/>
          <w:i/>
        </w:rPr>
        <w:t>Who can apply?</w:t>
      </w:r>
    </w:p>
    <w:p w14:paraId="46115F37" w14:textId="77777777" w:rsidR="00557F4F" w:rsidRDefault="00557F4F">
      <w:pPr>
        <w:spacing w:before="30" w:after="0" w:line="240" w:lineRule="auto"/>
        <w:ind w:right="152"/>
        <w:jc w:val="both"/>
        <w:rPr>
          <w:rFonts w:ascii="Arial" w:eastAsia="Arial" w:hAnsi="Arial" w:cs="Arial"/>
          <w:b/>
          <w:i/>
        </w:rPr>
      </w:pPr>
    </w:p>
    <w:p w14:paraId="46115F38" w14:textId="77777777" w:rsidR="00557F4F" w:rsidRDefault="00F62FC6">
      <w:pPr>
        <w:spacing w:before="31" w:after="200" w:line="240" w:lineRule="auto"/>
        <w:jc w:val="both"/>
        <w:rPr>
          <w:rFonts w:ascii="Arial" w:eastAsia="Arial" w:hAnsi="Arial" w:cs="Arial"/>
          <w:color w:val="000000"/>
        </w:rPr>
      </w:pPr>
      <w:r>
        <w:rPr>
          <w:rFonts w:ascii="Arial" w:eastAsia="Arial" w:hAnsi="Arial" w:cs="Arial"/>
          <w:color w:val="000000"/>
        </w:rPr>
        <w:t xml:space="preserve">This Call for proposals is open to local, </w:t>
      </w:r>
      <w:proofErr w:type="gramStart"/>
      <w:r>
        <w:rPr>
          <w:rFonts w:ascii="Arial" w:eastAsia="Arial" w:hAnsi="Arial" w:cs="Arial"/>
          <w:color w:val="000000"/>
        </w:rPr>
        <w:t>regional</w:t>
      </w:r>
      <w:proofErr w:type="gramEnd"/>
      <w:r>
        <w:rPr>
          <w:rFonts w:ascii="Arial" w:eastAsia="Arial" w:hAnsi="Arial" w:cs="Arial"/>
          <w:color w:val="000000"/>
        </w:rPr>
        <w:t xml:space="preserve"> and international non-profit organizations, CSOs, and networks bas</w:t>
      </w:r>
      <w:r>
        <w:rPr>
          <w:rFonts w:ascii="Arial" w:eastAsia="Arial" w:hAnsi="Arial" w:cs="Arial"/>
        </w:rPr>
        <w:t>ed in the target region</w:t>
      </w:r>
      <w:r>
        <w:rPr>
          <w:rFonts w:ascii="Arial" w:eastAsia="Arial" w:hAnsi="Arial" w:cs="Arial"/>
          <w:color w:val="000000"/>
        </w:rPr>
        <w:t xml:space="preserve">. Eligible applicants must be duly constituted nationally or internationally and have legal status. At the initial stage of the project proposal, the applicants will have to indicate the type of </w:t>
      </w:r>
      <w:proofErr w:type="spellStart"/>
      <w:r>
        <w:rPr>
          <w:rFonts w:ascii="Arial" w:eastAsia="Arial" w:hAnsi="Arial" w:cs="Arial"/>
          <w:color w:val="000000"/>
        </w:rPr>
        <w:t>organisation</w:t>
      </w:r>
      <w:proofErr w:type="spellEnd"/>
      <w:r>
        <w:rPr>
          <w:rFonts w:ascii="Arial" w:eastAsia="Arial" w:hAnsi="Arial" w:cs="Arial"/>
          <w:color w:val="000000"/>
        </w:rPr>
        <w:t xml:space="preserve"> applying for the grant: </w:t>
      </w:r>
    </w:p>
    <w:p w14:paraId="46115F39" w14:textId="77777777" w:rsidR="00557F4F" w:rsidRDefault="00F62FC6">
      <w:pPr>
        <w:spacing w:before="31" w:after="200" w:line="240" w:lineRule="auto"/>
        <w:jc w:val="both"/>
        <w:rPr>
          <w:rFonts w:ascii="Arial" w:eastAsia="Arial" w:hAnsi="Arial" w:cs="Arial"/>
          <w:color w:val="000000"/>
        </w:rPr>
      </w:pPr>
      <w:r>
        <w:rPr>
          <w:rFonts w:ascii="Arial" w:eastAsia="Arial" w:hAnsi="Arial" w:cs="Arial"/>
          <w:color w:val="000000"/>
        </w:rPr>
        <w:t xml:space="preserve">Applicants will have to demonstrate that: </w:t>
      </w:r>
    </w:p>
    <w:p w14:paraId="46115F3A" w14:textId="77777777" w:rsidR="00557F4F" w:rsidRDefault="00F62FC6">
      <w:pPr>
        <w:widowControl w:val="0"/>
        <w:numPr>
          <w:ilvl w:val="0"/>
          <w:numId w:val="3"/>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 xml:space="preserve">They have a democratic structure and are independent from </w:t>
      </w:r>
      <w:proofErr w:type="gramStart"/>
      <w:r>
        <w:rPr>
          <w:rFonts w:ascii="Arial" w:eastAsia="Arial" w:hAnsi="Arial" w:cs="Arial"/>
          <w:color w:val="000000"/>
        </w:rPr>
        <w:t>governments;</w:t>
      </w:r>
      <w:proofErr w:type="gramEnd"/>
    </w:p>
    <w:p w14:paraId="46115F3B" w14:textId="77777777" w:rsidR="00557F4F" w:rsidRDefault="00F62FC6">
      <w:pPr>
        <w:widowControl w:val="0"/>
        <w:numPr>
          <w:ilvl w:val="0"/>
          <w:numId w:val="3"/>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 xml:space="preserve">They subscribe to the values of Human Rights in its universality, indivisibility and </w:t>
      </w:r>
      <w:proofErr w:type="gramStart"/>
      <w:r>
        <w:rPr>
          <w:rFonts w:ascii="Arial" w:eastAsia="Arial" w:hAnsi="Arial" w:cs="Arial"/>
          <w:color w:val="000000"/>
        </w:rPr>
        <w:t>interdependence;</w:t>
      </w:r>
      <w:proofErr w:type="gramEnd"/>
    </w:p>
    <w:p w14:paraId="46115F3C" w14:textId="77777777" w:rsidR="00557F4F" w:rsidRDefault="00F62FC6">
      <w:pPr>
        <w:widowControl w:val="0"/>
        <w:numPr>
          <w:ilvl w:val="0"/>
          <w:numId w:val="3"/>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 xml:space="preserve">Are engaged and have experience in one or the three themes listed </w:t>
      </w:r>
      <w:proofErr w:type="gramStart"/>
      <w:r>
        <w:rPr>
          <w:rFonts w:ascii="Arial" w:eastAsia="Arial" w:hAnsi="Arial" w:cs="Arial"/>
          <w:color w:val="000000"/>
        </w:rPr>
        <w:t>above;</w:t>
      </w:r>
      <w:proofErr w:type="gramEnd"/>
    </w:p>
    <w:p w14:paraId="46115F3D" w14:textId="77777777" w:rsidR="00557F4F" w:rsidRDefault="00F62FC6">
      <w:pPr>
        <w:widowControl w:val="0"/>
        <w:numPr>
          <w:ilvl w:val="0"/>
          <w:numId w:val="3"/>
        </w:numPr>
        <w:pBdr>
          <w:top w:val="nil"/>
          <w:left w:val="nil"/>
          <w:bottom w:val="nil"/>
          <w:right w:val="nil"/>
          <w:between w:val="nil"/>
        </w:pBdr>
        <w:spacing w:before="31" w:after="200" w:line="240" w:lineRule="auto"/>
        <w:jc w:val="both"/>
        <w:rPr>
          <w:rFonts w:ascii="Arial" w:eastAsia="Arial" w:hAnsi="Arial" w:cs="Arial"/>
          <w:color w:val="000000"/>
        </w:rPr>
      </w:pPr>
      <w:r>
        <w:rPr>
          <w:rFonts w:ascii="Arial" w:eastAsia="Arial" w:hAnsi="Arial" w:cs="Arial"/>
          <w:color w:val="000000"/>
        </w:rPr>
        <w:lastRenderedPageBreak/>
        <w:t xml:space="preserve">Will be managing and implementation the Proposed Action and not acting as intermediaries. </w:t>
      </w:r>
    </w:p>
    <w:p w14:paraId="46115F3E" w14:textId="77777777" w:rsidR="00557F4F" w:rsidRDefault="00F62FC6">
      <w:pPr>
        <w:spacing w:before="31" w:after="200"/>
        <w:jc w:val="both"/>
        <w:rPr>
          <w:rFonts w:ascii="Arial" w:eastAsia="Arial" w:hAnsi="Arial" w:cs="Arial"/>
          <w:color w:val="000000"/>
        </w:rPr>
      </w:pPr>
      <w:r>
        <w:rPr>
          <w:rFonts w:ascii="Arial" w:eastAsia="Arial" w:hAnsi="Arial" w:cs="Arial"/>
          <w:color w:val="000000"/>
        </w:rPr>
        <w:t xml:space="preserve">Excluded applicants: individuals, government bodies and for-profit </w:t>
      </w:r>
      <w:proofErr w:type="spellStart"/>
      <w:r>
        <w:rPr>
          <w:rFonts w:ascii="Arial" w:eastAsia="Arial" w:hAnsi="Arial" w:cs="Arial"/>
          <w:color w:val="000000"/>
        </w:rPr>
        <w:t>organisations</w:t>
      </w:r>
      <w:proofErr w:type="spellEnd"/>
      <w:r>
        <w:rPr>
          <w:rFonts w:ascii="Arial" w:eastAsia="Arial" w:hAnsi="Arial" w:cs="Arial"/>
          <w:color w:val="000000"/>
        </w:rPr>
        <w:t>.</w:t>
      </w:r>
    </w:p>
    <w:p w14:paraId="46115F3F" w14:textId="77777777" w:rsidR="00557F4F" w:rsidRDefault="00557F4F">
      <w:pPr>
        <w:pBdr>
          <w:top w:val="nil"/>
          <w:left w:val="nil"/>
          <w:bottom w:val="nil"/>
          <w:right w:val="nil"/>
          <w:between w:val="nil"/>
        </w:pBdr>
        <w:spacing w:after="200" w:line="240" w:lineRule="auto"/>
        <w:jc w:val="both"/>
        <w:rPr>
          <w:rFonts w:ascii="Arial" w:eastAsia="Arial" w:hAnsi="Arial" w:cs="Arial"/>
          <w:b/>
          <w:color w:val="000000"/>
        </w:rPr>
      </w:pPr>
    </w:p>
    <w:p w14:paraId="46115F40" w14:textId="77777777" w:rsidR="00557F4F" w:rsidRDefault="00F62FC6">
      <w:pPr>
        <w:spacing w:before="31" w:after="0" w:line="240" w:lineRule="auto"/>
        <w:ind w:right="293"/>
        <w:jc w:val="both"/>
        <w:rPr>
          <w:rFonts w:ascii="Arial" w:eastAsia="Arial" w:hAnsi="Arial" w:cs="Arial"/>
          <w:b/>
          <w:i/>
          <w:u w:val="single"/>
        </w:rPr>
      </w:pPr>
      <w:r>
        <w:rPr>
          <w:rFonts w:ascii="Arial" w:eastAsia="Arial" w:hAnsi="Arial" w:cs="Arial"/>
          <w:b/>
          <w:i/>
          <w:u w:val="single"/>
        </w:rPr>
        <w:t>Implementation period</w:t>
      </w:r>
      <w:r>
        <w:rPr>
          <w:rFonts w:ascii="Arial" w:eastAsia="Arial" w:hAnsi="Arial" w:cs="Arial"/>
          <w:b/>
          <w:i/>
        </w:rPr>
        <w:t xml:space="preserve">: </w:t>
      </w:r>
    </w:p>
    <w:p w14:paraId="46115F41" w14:textId="77777777" w:rsidR="00557F4F" w:rsidRDefault="00557F4F">
      <w:pPr>
        <w:spacing w:before="31" w:after="0" w:line="240" w:lineRule="auto"/>
        <w:ind w:right="293"/>
        <w:jc w:val="both"/>
        <w:rPr>
          <w:b/>
          <w:i/>
        </w:rPr>
      </w:pPr>
    </w:p>
    <w:p w14:paraId="46115F42" w14:textId="77777777" w:rsidR="00557F4F" w:rsidRDefault="00F62FC6">
      <w:pPr>
        <w:spacing w:after="200" w:line="240" w:lineRule="auto"/>
        <w:jc w:val="both"/>
        <w:rPr>
          <w:rFonts w:ascii="Arial" w:eastAsia="Arial" w:hAnsi="Arial" w:cs="Arial"/>
          <w:b/>
          <w:color w:val="000000"/>
        </w:rPr>
      </w:pPr>
      <w:r>
        <w:rPr>
          <w:rFonts w:ascii="Arial" w:eastAsia="Arial" w:hAnsi="Arial" w:cs="Arial"/>
          <w:color w:val="000000"/>
        </w:rPr>
        <w:t xml:space="preserve">The implementation period for </w:t>
      </w:r>
      <w:r>
        <w:rPr>
          <w:rFonts w:ascii="Arial" w:eastAsia="Arial" w:hAnsi="Arial" w:cs="Arial"/>
        </w:rPr>
        <w:t>the</w:t>
      </w:r>
      <w:r>
        <w:rPr>
          <w:rFonts w:ascii="Arial" w:eastAsia="Arial" w:hAnsi="Arial" w:cs="Arial"/>
          <w:color w:val="000000"/>
        </w:rPr>
        <w:t xml:space="preserve"> supported actions is a </w:t>
      </w:r>
      <w:r>
        <w:rPr>
          <w:rFonts w:ascii="Arial" w:eastAsia="Arial" w:hAnsi="Arial" w:cs="Arial"/>
          <w:b/>
          <w:color w:val="000000"/>
        </w:rPr>
        <w:t>maximum of one year</w:t>
      </w:r>
      <w:r>
        <w:rPr>
          <w:rFonts w:ascii="Arial" w:eastAsia="Arial" w:hAnsi="Arial" w:cs="Arial"/>
          <w:color w:val="000000"/>
        </w:rPr>
        <w:t xml:space="preserve">, from </w:t>
      </w:r>
      <w:r>
        <w:rPr>
          <w:rFonts w:ascii="Arial" w:eastAsia="Arial" w:hAnsi="Arial" w:cs="Arial"/>
          <w:b/>
          <w:color w:val="000000"/>
        </w:rPr>
        <w:t xml:space="preserve">June 2024 to June 2025.   </w:t>
      </w:r>
    </w:p>
    <w:p w14:paraId="46115F43" w14:textId="77777777" w:rsidR="00557F4F" w:rsidRDefault="00F62FC6">
      <w:pPr>
        <w:spacing w:before="31" w:after="0" w:line="240" w:lineRule="auto"/>
        <w:ind w:right="293"/>
        <w:jc w:val="both"/>
        <w:rPr>
          <w:rFonts w:ascii="Arial" w:eastAsia="Arial" w:hAnsi="Arial" w:cs="Arial"/>
          <w:b/>
          <w:i/>
          <w:u w:val="single"/>
        </w:rPr>
      </w:pPr>
      <w:r>
        <w:rPr>
          <w:rFonts w:ascii="Arial" w:eastAsia="Arial" w:hAnsi="Arial" w:cs="Arial"/>
          <w:b/>
          <w:i/>
          <w:u w:val="single"/>
        </w:rPr>
        <w:t>Grant amount</w:t>
      </w:r>
      <w:r>
        <w:rPr>
          <w:rFonts w:ascii="Arial" w:eastAsia="Arial" w:hAnsi="Arial" w:cs="Arial"/>
          <w:b/>
          <w:i/>
        </w:rPr>
        <w:t xml:space="preserve">: </w:t>
      </w:r>
    </w:p>
    <w:p w14:paraId="46115F44" w14:textId="77777777" w:rsidR="00557F4F" w:rsidRDefault="00557F4F">
      <w:pPr>
        <w:spacing w:before="31" w:after="0" w:line="240" w:lineRule="auto"/>
        <w:ind w:right="293"/>
        <w:jc w:val="both"/>
        <w:rPr>
          <w:b/>
          <w:i/>
          <w:u w:val="single"/>
        </w:rPr>
      </w:pPr>
    </w:p>
    <w:p w14:paraId="46115F45" w14:textId="77777777" w:rsidR="00557F4F" w:rsidRDefault="00F62FC6">
      <w:pPr>
        <w:spacing w:after="200" w:line="240" w:lineRule="auto"/>
        <w:jc w:val="both"/>
        <w:rPr>
          <w:rFonts w:ascii="Arial" w:eastAsia="Arial" w:hAnsi="Arial" w:cs="Arial"/>
          <w:color w:val="000000"/>
        </w:rPr>
      </w:pPr>
      <w:r>
        <w:rPr>
          <w:rFonts w:ascii="Arial" w:eastAsia="Arial" w:hAnsi="Arial" w:cs="Arial"/>
          <w:color w:val="000000"/>
        </w:rPr>
        <w:t xml:space="preserve">A maximum of </w:t>
      </w:r>
      <w:r>
        <w:rPr>
          <w:rFonts w:ascii="Arial" w:eastAsia="Arial" w:hAnsi="Arial" w:cs="Arial"/>
          <w:b/>
          <w:color w:val="000000"/>
        </w:rPr>
        <w:t>20 actions</w:t>
      </w:r>
      <w:r>
        <w:rPr>
          <w:rFonts w:ascii="Arial" w:eastAsia="Arial" w:hAnsi="Arial" w:cs="Arial"/>
          <w:color w:val="000000"/>
        </w:rPr>
        <w:t xml:space="preserve"> in total will be selected under this Call for Proposals. Each selected CSO will be eligible for financial support </w:t>
      </w:r>
      <w:r>
        <w:rPr>
          <w:rFonts w:ascii="Arial" w:eastAsia="Arial" w:hAnsi="Arial" w:cs="Arial"/>
          <w:b/>
          <w:color w:val="000000"/>
        </w:rPr>
        <w:t>from 5,000€ to 15,000€</w:t>
      </w:r>
      <w:r>
        <w:rPr>
          <w:rFonts w:ascii="Arial" w:eastAsia="Arial" w:hAnsi="Arial" w:cs="Arial"/>
          <w:color w:val="000000"/>
        </w:rPr>
        <w:t>, depending on the action and the budget required to implement it.</w:t>
      </w:r>
    </w:p>
    <w:p w14:paraId="46115F46" w14:textId="77777777" w:rsidR="00557F4F" w:rsidRDefault="00F62FC6">
      <w:pPr>
        <w:spacing w:before="31" w:after="0" w:line="240" w:lineRule="auto"/>
        <w:ind w:right="293"/>
        <w:jc w:val="both"/>
        <w:rPr>
          <w:rFonts w:ascii="Arial" w:eastAsia="Arial" w:hAnsi="Arial" w:cs="Arial"/>
          <w:b/>
          <w:i/>
          <w:u w:val="single"/>
        </w:rPr>
      </w:pPr>
      <w:r>
        <w:rPr>
          <w:rFonts w:ascii="Arial" w:eastAsia="Arial" w:hAnsi="Arial" w:cs="Arial"/>
          <w:b/>
          <w:i/>
          <w:u w:val="single"/>
        </w:rPr>
        <w:t>Eligible costs:</w:t>
      </w:r>
    </w:p>
    <w:p w14:paraId="46115F47" w14:textId="77777777" w:rsidR="00557F4F" w:rsidRDefault="00F62FC6">
      <w:pPr>
        <w:spacing w:before="31" w:after="0" w:line="240" w:lineRule="auto"/>
        <w:ind w:right="293"/>
        <w:jc w:val="both"/>
        <w:rPr>
          <w:b/>
          <w:i/>
        </w:rPr>
      </w:pPr>
      <w:r>
        <w:rPr>
          <w:b/>
          <w:i/>
        </w:rPr>
        <w:t xml:space="preserve"> </w:t>
      </w:r>
    </w:p>
    <w:p w14:paraId="46115F48" w14:textId="77777777" w:rsidR="00557F4F" w:rsidRDefault="00F62FC6">
      <w:pPr>
        <w:spacing w:before="20" w:after="200" w:line="240" w:lineRule="auto"/>
        <w:jc w:val="both"/>
        <w:rPr>
          <w:rFonts w:ascii="Arial" w:eastAsia="Arial" w:hAnsi="Arial" w:cs="Arial"/>
          <w:color w:val="000000"/>
        </w:rPr>
      </w:pPr>
      <w:r>
        <w:rPr>
          <w:rFonts w:ascii="Arial" w:eastAsia="Arial" w:hAnsi="Arial" w:cs="Arial"/>
          <w:color w:val="000000"/>
        </w:rPr>
        <w:t>Eligible costs refer to the actual expenses incurred by the beneficiaries, adhering to the following criteria:</w:t>
      </w:r>
    </w:p>
    <w:p w14:paraId="46115F49" w14:textId="77777777" w:rsidR="00557F4F" w:rsidRDefault="00F62FC6">
      <w:pPr>
        <w:widowControl w:val="0"/>
        <w:numPr>
          <w:ilvl w:val="0"/>
          <w:numId w:val="1"/>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Incurred during the action's implementation.</w:t>
      </w:r>
    </w:p>
    <w:p w14:paraId="46115F4A" w14:textId="77777777" w:rsidR="00557F4F" w:rsidRDefault="00F62FC6">
      <w:pPr>
        <w:widowControl w:val="0"/>
        <w:numPr>
          <w:ilvl w:val="0"/>
          <w:numId w:val="1"/>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Clearly specified in the estimated overall budget for the action.</w:t>
      </w:r>
    </w:p>
    <w:p w14:paraId="46115F4B" w14:textId="77777777" w:rsidR="00557F4F" w:rsidRDefault="00F62FC6">
      <w:pPr>
        <w:widowControl w:val="0"/>
        <w:numPr>
          <w:ilvl w:val="0"/>
          <w:numId w:val="1"/>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Essential for executing the action.</w:t>
      </w:r>
    </w:p>
    <w:p w14:paraId="46115F4C" w14:textId="77777777" w:rsidR="00557F4F" w:rsidRDefault="00F62FC6">
      <w:pPr>
        <w:widowControl w:val="0"/>
        <w:numPr>
          <w:ilvl w:val="0"/>
          <w:numId w:val="1"/>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Identifiable and verifiable, recorded in the beneficiary's accounting records, following accounting standards and customary cost accounting practices.</w:t>
      </w:r>
    </w:p>
    <w:p w14:paraId="46115F4D" w14:textId="77777777" w:rsidR="00557F4F" w:rsidRDefault="00F62FC6">
      <w:pPr>
        <w:widowControl w:val="0"/>
        <w:numPr>
          <w:ilvl w:val="0"/>
          <w:numId w:val="1"/>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In accordance with relevant tax and social legislation requirements.</w:t>
      </w:r>
    </w:p>
    <w:p w14:paraId="46115F4E" w14:textId="77777777" w:rsidR="00557F4F" w:rsidRDefault="00F62FC6">
      <w:pPr>
        <w:widowControl w:val="0"/>
        <w:numPr>
          <w:ilvl w:val="0"/>
          <w:numId w:val="1"/>
        </w:numPr>
        <w:pBdr>
          <w:top w:val="nil"/>
          <w:left w:val="nil"/>
          <w:bottom w:val="nil"/>
          <w:right w:val="nil"/>
          <w:between w:val="nil"/>
        </w:pBdr>
        <w:spacing w:before="20" w:after="200" w:line="240" w:lineRule="auto"/>
        <w:jc w:val="both"/>
        <w:rPr>
          <w:rFonts w:ascii="Arial" w:eastAsia="Arial" w:hAnsi="Arial" w:cs="Arial"/>
          <w:color w:val="000000"/>
        </w:rPr>
      </w:pPr>
      <w:r>
        <w:rPr>
          <w:rFonts w:ascii="Arial" w:eastAsia="Arial" w:hAnsi="Arial" w:cs="Arial"/>
          <w:color w:val="000000"/>
        </w:rPr>
        <w:t>Demonstrating reasonability, justification, and alignment with sound financial management principles, emphasizing economy and efficiency.</w:t>
      </w:r>
    </w:p>
    <w:p w14:paraId="46115F4F" w14:textId="77777777" w:rsidR="00557F4F" w:rsidRDefault="00F62FC6">
      <w:pPr>
        <w:spacing w:before="20" w:after="200" w:line="240" w:lineRule="auto"/>
        <w:jc w:val="both"/>
        <w:rPr>
          <w:rFonts w:ascii="Arial" w:eastAsia="Arial" w:hAnsi="Arial" w:cs="Arial"/>
          <w:i/>
          <w:color w:val="000000"/>
        </w:rPr>
      </w:pPr>
      <w:r>
        <w:rPr>
          <w:rFonts w:ascii="Arial" w:eastAsia="Arial" w:hAnsi="Arial" w:cs="Arial"/>
          <w:i/>
          <w:color w:val="000000"/>
        </w:rPr>
        <w:t xml:space="preserve">Under this </w:t>
      </w:r>
      <w:proofErr w:type="spellStart"/>
      <w:r>
        <w:rPr>
          <w:rFonts w:ascii="Arial" w:eastAsia="Arial" w:hAnsi="Arial" w:cs="Arial"/>
          <w:i/>
          <w:color w:val="000000"/>
        </w:rPr>
        <w:t>subgranting</w:t>
      </w:r>
      <w:proofErr w:type="spellEnd"/>
      <w:r>
        <w:rPr>
          <w:rFonts w:ascii="Arial" w:eastAsia="Arial" w:hAnsi="Arial" w:cs="Arial"/>
          <w:i/>
          <w:color w:val="000000"/>
        </w:rPr>
        <w:t xml:space="preserve"> </w:t>
      </w:r>
      <w:proofErr w:type="spellStart"/>
      <w:r>
        <w:rPr>
          <w:rFonts w:ascii="Arial" w:eastAsia="Arial" w:hAnsi="Arial" w:cs="Arial"/>
          <w:i/>
          <w:color w:val="000000"/>
        </w:rPr>
        <w:t>programme</w:t>
      </w:r>
      <w:proofErr w:type="spellEnd"/>
      <w:r>
        <w:rPr>
          <w:rFonts w:ascii="Arial" w:eastAsia="Arial" w:hAnsi="Arial" w:cs="Arial"/>
          <w:i/>
          <w:color w:val="000000"/>
        </w:rPr>
        <w:t xml:space="preserve">, overheads costs (7%-10%) will be considered eligible and will have to be included in the budget submitted at the application stage.  </w:t>
      </w:r>
    </w:p>
    <w:p w14:paraId="46115F50" w14:textId="77777777" w:rsidR="00557F4F" w:rsidRDefault="00F62FC6">
      <w:pPr>
        <w:spacing w:after="200" w:line="240" w:lineRule="auto"/>
        <w:jc w:val="both"/>
        <w:rPr>
          <w:rFonts w:ascii="Arial" w:eastAsia="Arial" w:hAnsi="Arial" w:cs="Arial"/>
          <w:b/>
          <w:i/>
          <w:color w:val="000000"/>
          <w:u w:val="single"/>
        </w:rPr>
      </w:pPr>
      <w:r>
        <w:rPr>
          <w:rFonts w:ascii="Arial" w:eastAsia="Arial" w:hAnsi="Arial" w:cs="Arial"/>
          <w:b/>
          <w:i/>
          <w:color w:val="000000"/>
          <w:u w:val="single"/>
        </w:rPr>
        <w:t xml:space="preserve">Evaluation Process: </w:t>
      </w:r>
    </w:p>
    <w:p w14:paraId="46115F51" w14:textId="77777777" w:rsidR="00557F4F" w:rsidRDefault="00F62FC6">
      <w:pPr>
        <w:spacing w:after="200" w:line="240" w:lineRule="auto"/>
        <w:jc w:val="both"/>
        <w:rPr>
          <w:rFonts w:ascii="Arial" w:eastAsia="Arial" w:hAnsi="Arial" w:cs="Arial"/>
          <w:color w:val="000000"/>
        </w:rPr>
      </w:pPr>
      <w:r>
        <w:rPr>
          <w:rFonts w:ascii="Arial" w:eastAsia="Arial" w:hAnsi="Arial" w:cs="Arial"/>
          <w:color w:val="000000"/>
        </w:rPr>
        <w:t xml:space="preserve">Applications sent in by the deadline with all required documents will be examined and assessed by a Selection Committee </w:t>
      </w:r>
      <w:proofErr w:type="gramStart"/>
      <w:r>
        <w:rPr>
          <w:rFonts w:ascii="Arial" w:eastAsia="Arial" w:hAnsi="Arial" w:cs="Arial"/>
          <w:color w:val="000000"/>
        </w:rPr>
        <w:t>on the basis of</w:t>
      </w:r>
      <w:proofErr w:type="gramEnd"/>
      <w:r>
        <w:rPr>
          <w:rFonts w:ascii="Arial" w:eastAsia="Arial" w:hAnsi="Arial" w:cs="Arial"/>
          <w:color w:val="000000"/>
        </w:rPr>
        <w:t xml:space="preserve"> predefined evaluation criteria.</w:t>
      </w:r>
    </w:p>
    <w:p w14:paraId="46115F52" w14:textId="77777777" w:rsidR="00557F4F" w:rsidRDefault="00F62FC6">
      <w:pPr>
        <w:spacing w:after="200" w:line="240" w:lineRule="auto"/>
        <w:jc w:val="both"/>
        <w:rPr>
          <w:rFonts w:ascii="Arial" w:eastAsia="Arial" w:hAnsi="Arial" w:cs="Arial"/>
          <w:color w:val="000000"/>
        </w:rPr>
      </w:pPr>
      <w:r>
        <w:rPr>
          <w:rFonts w:ascii="Arial" w:eastAsia="Arial" w:hAnsi="Arial" w:cs="Arial"/>
          <w:color w:val="000000"/>
        </w:rPr>
        <w:t xml:space="preserve">Only shortlisted applicants will be invited for an interview with the Selection Committee.  </w:t>
      </w:r>
    </w:p>
    <w:p w14:paraId="46115F53" w14:textId="77777777" w:rsidR="00557F4F" w:rsidRDefault="00F62FC6">
      <w:pPr>
        <w:spacing w:after="200" w:line="240" w:lineRule="auto"/>
        <w:jc w:val="both"/>
        <w:rPr>
          <w:rFonts w:ascii="Arial" w:eastAsia="Arial" w:hAnsi="Arial" w:cs="Arial"/>
          <w:color w:val="000000"/>
        </w:rPr>
      </w:pPr>
      <w:r>
        <w:rPr>
          <w:rFonts w:ascii="Arial" w:eastAsia="Arial" w:hAnsi="Arial" w:cs="Arial"/>
        </w:rPr>
        <w:lastRenderedPageBreak/>
        <w:t xml:space="preserve">Selected applicants will be informed in writing of the Selection Committee's decision regarding their application and, in the event of rejection, of the reasons for the negative decision, during the last two weeks of </w:t>
      </w:r>
      <w:r>
        <w:rPr>
          <w:rFonts w:ascii="Arial" w:eastAsia="Arial" w:hAnsi="Arial" w:cs="Arial"/>
          <w:b/>
        </w:rPr>
        <w:t>May 2024</w:t>
      </w:r>
      <w:r>
        <w:rPr>
          <w:rFonts w:ascii="Arial" w:eastAsia="Arial" w:hAnsi="Arial" w:cs="Arial"/>
        </w:rPr>
        <w:t>. This letter will be sent by e-mail. Applicants should therefore check their e-mail regularly.</w:t>
      </w:r>
      <w:r>
        <w:rPr>
          <w:rFonts w:ascii="Arial" w:eastAsia="Arial" w:hAnsi="Arial" w:cs="Arial"/>
          <w:color w:val="000000"/>
        </w:rPr>
        <w:t xml:space="preserve"> </w:t>
      </w:r>
    </w:p>
    <w:p w14:paraId="46115F54" w14:textId="77777777" w:rsidR="00557F4F" w:rsidRDefault="00557F4F">
      <w:pPr>
        <w:rPr>
          <w:rFonts w:ascii="Arial" w:eastAsia="Arial" w:hAnsi="Arial" w:cs="Arial"/>
          <w:color w:val="000000"/>
        </w:rPr>
      </w:pPr>
    </w:p>
    <w:p w14:paraId="46115F55" w14:textId="77777777" w:rsidR="00557F4F" w:rsidRDefault="00F62FC6">
      <w:pPr>
        <w:spacing w:after="200" w:line="240" w:lineRule="auto"/>
        <w:jc w:val="both"/>
        <w:rPr>
          <w:rFonts w:ascii="Arial" w:eastAsia="Arial" w:hAnsi="Arial" w:cs="Arial"/>
          <w:b/>
          <w:i/>
          <w:u w:val="single"/>
        </w:rPr>
      </w:pPr>
      <w:r>
        <w:rPr>
          <w:rFonts w:ascii="Arial" w:eastAsia="Arial" w:hAnsi="Arial" w:cs="Arial"/>
          <w:b/>
          <w:i/>
          <w:u w:val="single"/>
        </w:rPr>
        <w:t>How to apply:</w:t>
      </w:r>
    </w:p>
    <w:p w14:paraId="46115F56" w14:textId="77777777" w:rsidR="00557F4F" w:rsidRDefault="00557F4F">
      <w:pPr>
        <w:pBdr>
          <w:top w:val="nil"/>
          <w:left w:val="nil"/>
          <w:bottom w:val="nil"/>
          <w:right w:val="nil"/>
          <w:between w:val="nil"/>
        </w:pBdr>
        <w:spacing w:after="0" w:line="240" w:lineRule="auto"/>
        <w:jc w:val="both"/>
        <w:rPr>
          <w:b/>
          <w:i/>
          <w:color w:val="000000"/>
          <w:u w:val="single"/>
        </w:rPr>
      </w:pPr>
    </w:p>
    <w:p w14:paraId="46115F57" w14:textId="77777777" w:rsidR="00557F4F" w:rsidRDefault="00F62FC6">
      <w:p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rPr>
        <w:t xml:space="preserve">Procedures for submitting applications: </w:t>
      </w:r>
    </w:p>
    <w:p w14:paraId="46115F58" w14:textId="77777777" w:rsidR="00557F4F" w:rsidRDefault="00557F4F">
      <w:pPr>
        <w:pBdr>
          <w:top w:val="nil"/>
          <w:left w:val="nil"/>
          <w:bottom w:val="nil"/>
          <w:right w:val="nil"/>
          <w:between w:val="nil"/>
        </w:pBdr>
        <w:spacing w:after="0" w:line="240" w:lineRule="auto"/>
        <w:jc w:val="both"/>
        <w:rPr>
          <w:b/>
          <w:i/>
          <w:color w:val="000000"/>
          <w:u w:val="single"/>
        </w:rPr>
      </w:pPr>
    </w:p>
    <w:p w14:paraId="46115F59" w14:textId="77777777" w:rsidR="00557F4F" w:rsidRDefault="00F62FC6">
      <w:pPr>
        <w:spacing w:after="200" w:line="240" w:lineRule="auto"/>
        <w:jc w:val="both"/>
        <w:rPr>
          <w:rFonts w:ascii="Arial" w:eastAsia="Arial" w:hAnsi="Arial" w:cs="Arial"/>
        </w:rPr>
      </w:pPr>
      <w:r>
        <w:rPr>
          <w:rFonts w:ascii="Arial" w:eastAsia="Arial" w:hAnsi="Arial" w:cs="Arial"/>
        </w:rPr>
        <w:t xml:space="preserve">Complete grant applications must be submitted in </w:t>
      </w:r>
      <w:r>
        <w:rPr>
          <w:rFonts w:ascii="Arial" w:eastAsia="Arial" w:hAnsi="Arial" w:cs="Arial"/>
          <w:b/>
        </w:rPr>
        <w:t>English, French or Arabic</w:t>
      </w:r>
      <w:r>
        <w:rPr>
          <w:rFonts w:ascii="Arial" w:eastAsia="Arial" w:hAnsi="Arial" w:cs="Arial"/>
        </w:rPr>
        <w:t xml:space="preserve"> by email to following address </w:t>
      </w:r>
      <w:hyperlink r:id="rId13">
        <w:r>
          <w:rPr>
            <w:color w:val="0563C1"/>
            <w:u w:val="single"/>
          </w:rPr>
          <w:t>majalat.remdh@gmail.com</w:t>
        </w:r>
      </w:hyperlink>
      <w:r>
        <w:rPr>
          <w:rFonts w:ascii="Arial" w:eastAsia="Arial" w:hAnsi="Arial" w:cs="Arial"/>
        </w:rPr>
        <w:t xml:space="preserve">  </w:t>
      </w:r>
      <w:r>
        <w:rPr>
          <w:rFonts w:ascii="Arial" w:eastAsia="Arial" w:hAnsi="Arial" w:cs="Arial"/>
          <w:b/>
          <w:color w:val="FF0000"/>
        </w:rPr>
        <w:t>before March 10, 2024, at 23:59 (CET time)</w:t>
      </w:r>
      <w:r>
        <w:rPr>
          <w:rFonts w:ascii="Arial" w:eastAsia="Arial" w:hAnsi="Arial" w:cs="Arial"/>
          <w:b/>
        </w:rPr>
        <w:t xml:space="preserve"> </w:t>
      </w:r>
      <w:r>
        <w:rPr>
          <w:rFonts w:ascii="Arial" w:eastAsia="Arial" w:hAnsi="Arial" w:cs="Arial"/>
        </w:rPr>
        <w:t xml:space="preserve">(date and time of sending serving as proof). An email acknowledging receipt will be sent in response as soon as possible. Any questions regarding the call for proposals can be sent by e-mail to the same address. </w:t>
      </w:r>
    </w:p>
    <w:p w14:paraId="46115F5A" w14:textId="77777777" w:rsidR="00557F4F" w:rsidRDefault="00F62FC6">
      <w:p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rPr>
        <w:t>Application forms and supporting documents to be provided:</w:t>
      </w:r>
    </w:p>
    <w:p w14:paraId="46115F5B" w14:textId="77777777" w:rsidR="00557F4F" w:rsidRDefault="00F62FC6">
      <w:pPr>
        <w:spacing w:before="30" w:after="0" w:line="240" w:lineRule="auto"/>
        <w:ind w:right="152"/>
        <w:jc w:val="both"/>
      </w:pPr>
      <w:r>
        <w:t xml:space="preserve"> </w:t>
      </w:r>
    </w:p>
    <w:p w14:paraId="46115F5C" w14:textId="77777777" w:rsidR="00557F4F" w:rsidRDefault="00F62FC6">
      <w:pPr>
        <w:spacing w:after="200"/>
        <w:jc w:val="both"/>
        <w:rPr>
          <w:rFonts w:ascii="Arial" w:eastAsia="Arial" w:hAnsi="Arial" w:cs="Arial"/>
          <w:color w:val="000000"/>
        </w:rPr>
      </w:pPr>
      <w:r>
        <w:rPr>
          <w:rFonts w:ascii="Arial" w:eastAsia="Arial" w:hAnsi="Arial" w:cs="Arial"/>
          <w:color w:val="000000"/>
        </w:rPr>
        <w:t xml:space="preserve">Applications must include the following documents: </w:t>
      </w:r>
    </w:p>
    <w:p w14:paraId="46115F5D" w14:textId="77777777" w:rsidR="00557F4F" w:rsidRDefault="00F62FC6">
      <w:pPr>
        <w:widowControl w:val="0"/>
        <w:numPr>
          <w:ilvl w:val="0"/>
          <w:numId w:val="4"/>
        </w:numPr>
        <w:pBdr>
          <w:top w:val="nil"/>
          <w:left w:val="nil"/>
          <w:bottom w:val="nil"/>
          <w:right w:val="nil"/>
          <w:between w:val="nil"/>
        </w:pBdr>
        <w:spacing w:before="1" w:after="0" w:line="240" w:lineRule="auto"/>
        <w:ind w:left="360"/>
        <w:rPr>
          <w:rFonts w:ascii="Arial" w:eastAsia="Arial" w:hAnsi="Arial" w:cs="Arial"/>
          <w:color w:val="000000"/>
        </w:rPr>
      </w:pPr>
      <w:r>
        <w:rPr>
          <w:rFonts w:ascii="Arial" w:eastAsia="Arial" w:hAnsi="Arial" w:cs="Arial"/>
          <w:color w:val="000000"/>
        </w:rPr>
        <w:t xml:space="preserve">The application form filled in, which is available on the </w:t>
      </w:r>
      <w:hyperlink r:id="rId14">
        <w:r>
          <w:rPr>
            <w:rFonts w:ascii="Arial" w:eastAsia="Arial" w:hAnsi="Arial" w:cs="Arial"/>
            <w:color w:val="1155CC"/>
            <w:u w:val="single"/>
          </w:rPr>
          <w:t>MAJALAT II website</w:t>
        </w:r>
      </w:hyperlink>
      <w:r>
        <w:rPr>
          <w:rFonts w:ascii="Arial" w:eastAsia="Arial" w:hAnsi="Arial" w:cs="Arial"/>
          <w:color w:val="000000"/>
        </w:rPr>
        <w:t xml:space="preserve"> in English, French and Arabic ( a brief summary of the action will be required), including a full budget for the action. </w:t>
      </w:r>
    </w:p>
    <w:p w14:paraId="46115F5E" w14:textId="77777777" w:rsidR="00557F4F" w:rsidRDefault="00F62FC6">
      <w:pPr>
        <w:widowControl w:val="0"/>
        <w:numPr>
          <w:ilvl w:val="0"/>
          <w:numId w:val="4"/>
        </w:numPr>
        <w:pBdr>
          <w:top w:val="nil"/>
          <w:left w:val="nil"/>
          <w:bottom w:val="nil"/>
          <w:right w:val="nil"/>
          <w:between w:val="nil"/>
        </w:pBdr>
        <w:spacing w:before="1" w:after="0" w:line="240" w:lineRule="auto"/>
        <w:ind w:left="360"/>
        <w:rPr>
          <w:rFonts w:ascii="Arial" w:eastAsia="Arial" w:hAnsi="Arial" w:cs="Arial"/>
          <w:color w:val="000000"/>
        </w:rPr>
      </w:pPr>
      <w:r>
        <w:rPr>
          <w:rFonts w:ascii="Arial" w:eastAsia="Arial" w:hAnsi="Arial" w:cs="Arial"/>
          <w:color w:val="000000"/>
        </w:rPr>
        <w:t xml:space="preserve">The association's complete legal file including:  </w:t>
      </w:r>
    </w:p>
    <w:p w14:paraId="46115F5F" w14:textId="77777777" w:rsidR="00557F4F" w:rsidRDefault="00F62FC6">
      <w:pPr>
        <w:widowControl w:val="0"/>
        <w:numPr>
          <w:ilvl w:val="0"/>
          <w:numId w:val="2"/>
        </w:numPr>
        <w:pBdr>
          <w:top w:val="nil"/>
          <w:left w:val="nil"/>
          <w:bottom w:val="nil"/>
          <w:right w:val="nil"/>
          <w:between w:val="nil"/>
        </w:pBdr>
        <w:spacing w:before="20" w:after="200" w:line="240" w:lineRule="auto"/>
        <w:ind w:left="720"/>
        <w:jc w:val="both"/>
        <w:rPr>
          <w:rFonts w:ascii="Arial" w:eastAsia="Arial" w:hAnsi="Arial" w:cs="Arial"/>
          <w:color w:val="000000"/>
        </w:rPr>
      </w:pPr>
      <w:r>
        <w:rPr>
          <w:rFonts w:ascii="Arial" w:eastAsia="Arial" w:hAnsi="Arial" w:cs="Arial"/>
          <w:color w:val="000000"/>
        </w:rPr>
        <w:t>The statutes of the CSO</w:t>
      </w:r>
    </w:p>
    <w:p w14:paraId="46115F60" w14:textId="77777777" w:rsidR="00557F4F" w:rsidRDefault="00F62FC6">
      <w:pPr>
        <w:widowControl w:val="0"/>
        <w:numPr>
          <w:ilvl w:val="0"/>
          <w:numId w:val="2"/>
        </w:numPr>
        <w:pBdr>
          <w:top w:val="nil"/>
          <w:left w:val="nil"/>
          <w:bottom w:val="nil"/>
          <w:right w:val="nil"/>
          <w:between w:val="nil"/>
        </w:pBdr>
        <w:spacing w:before="20" w:after="200" w:line="240" w:lineRule="auto"/>
        <w:ind w:left="720"/>
        <w:jc w:val="both"/>
        <w:rPr>
          <w:rFonts w:ascii="Arial" w:eastAsia="Arial" w:hAnsi="Arial" w:cs="Arial"/>
          <w:color w:val="000000"/>
        </w:rPr>
      </w:pPr>
      <w:r>
        <w:rPr>
          <w:rFonts w:ascii="Arial" w:eastAsia="Arial" w:hAnsi="Arial" w:cs="Arial"/>
          <w:color w:val="000000"/>
        </w:rPr>
        <w:t>The minutes of the last general meeting where possible</w:t>
      </w:r>
    </w:p>
    <w:p w14:paraId="46115F61" w14:textId="77777777" w:rsidR="00557F4F" w:rsidRDefault="00F62FC6">
      <w:pPr>
        <w:widowControl w:val="0"/>
        <w:numPr>
          <w:ilvl w:val="0"/>
          <w:numId w:val="2"/>
        </w:numPr>
        <w:pBdr>
          <w:top w:val="nil"/>
          <w:left w:val="nil"/>
          <w:bottom w:val="nil"/>
          <w:right w:val="nil"/>
          <w:between w:val="nil"/>
        </w:pBdr>
        <w:spacing w:before="20" w:after="200" w:line="240" w:lineRule="auto"/>
        <w:ind w:left="720"/>
        <w:jc w:val="both"/>
        <w:rPr>
          <w:rFonts w:ascii="Arial" w:eastAsia="Arial" w:hAnsi="Arial" w:cs="Arial"/>
          <w:color w:val="000000"/>
        </w:rPr>
      </w:pPr>
      <w:r>
        <w:rPr>
          <w:rFonts w:ascii="Arial" w:eastAsia="Arial" w:hAnsi="Arial" w:cs="Arial"/>
          <w:color w:val="000000"/>
        </w:rPr>
        <w:t>The minutes of the appointment of members of the Executive Committee or the Board of Directors</w:t>
      </w:r>
    </w:p>
    <w:p w14:paraId="46115F62" w14:textId="77777777" w:rsidR="00557F4F" w:rsidRDefault="00F62FC6">
      <w:pPr>
        <w:widowControl w:val="0"/>
        <w:numPr>
          <w:ilvl w:val="0"/>
          <w:numId w:val="2"/>
        </w:numPr>
        <w:pBdr>
          <w:top w:val="nil"/>
          <w:left w:val="nil"/>
          <w:bottom w:val="nil"/>
          <w:right w:val="nil"/>
          <w:between w:val="nil"/>
        </w:pBdr>
        <w:spacing w:before="20" w:after="200" w:line="240" w:lineRule="auto"/>
        <w:ind w:left="720"/>
        <w:jc w:val="both"/>
        <w:rPr>
          <w:rFonts w:ascii="Arial" w:eastAsia="Arial" w:hAnsi="Arial" w:cs="Arial"/>
          <w:color w:val="000000"/>
        </w:rPr>
      </w:pPr>
      <w:r>
        <w:rPr>
          <w:rFonts w:ascii="Arial" w:eastAsia="Arial" w:hAnsi="Arial" w:cs="Arial"/>
          <w:color w:val="000000"/>
        </w:rPr>
        <w:t>The list of members of the Executive Committee or the Board of Directors</w:t>
      </w:r>
    </w:p>
    <w:p w14:paraId="46115F63" w14:textId="77777777" w:rsidR="00557F4F" w:rsidRDefault="00F62FC6">
      <w:pPr>
        <w:widowControl w:val="0"/>
        <w:numPr>
          <w:ilvl w:val="0"/>
          <w:numId w:val="2"/>
        </w:numPr>
        <w:pBdr>
          <w:top w:val="nil"/>
          <w:left w:val="nil"/>
          <w:bottom w:val="nil"/>
          <w:right w:val="nil"/>
          <w:between w:val="nil"/>
        </w:pBdr>
        <w:spacing w:before="20" w:after="200" w:line="240" w:lineRule="auto"/>
        <w:ind w:left="720"/>
        <w:jc w:val="both"/>
        <w:rPr>
          <w:rFonts w:ascii="Arial" w:eastAsia="Arial" w:hAnsi="Arial" w:cs="Arial"/>
          <w:color w:val="000000"/>
        </w:rPr>
      </w:pPr>
      <w:r>
        <w:rPr>
          <w:rFonts w:ascii="Arial" w:eastAsia="Arial" w:hAnsi="Arial" w:cs="Arial"/>
          <w:color w:val="000000"/>
        </w:rPr>
        <w:t>The final or provisional receipt for the filing of the legal file with the competent authorities or proof of registration of the CSO in the country</w:t>
      </w:r>
    </w:p>
    <w:p w14:paraId="46115F64" w14:textId="77777777" w:rsidR="00557F4F" w:rsidRDefault="00F62FC6">
      <w:pPr>
        <w:widowControl w:val="0"/>
        <w:numPr>
          <w:ilvl w:val="0"/>
          <w:numId w:val="2"/>
        </w:numPr>
        <w:pBdr>
          <w:top w:val="nil"/>
          <w:left w:val="nil"/>
          <w:bottom w:val="nil"/>
          <w:right w:val="nil"/>
          <w:between w:val="nil"/>
        </w:pBdr>
        <w:spacing w:before="20" w:after="200" w:line="240" w:lineRule="auto"/>
        <w:ind w:left="720"/>
        <w:jc w:val="both"/>
        <w:rPr>
          <w:rFonts w:ascii="Arial" w:eastAsia="Arial" w:hAnsi="Arial" w:cs="Arial"/>
          <w:color w:val="000000"/>
        </w:rPr>
      </w:pPr>
      <w:r>
        <w:rPr>
          <w:rFonts w:ascii="Arial" w:eastAsia="Arial" w:hAnsi="Arial" w:cs="Arial"/>
          <w:color w:val="000000"/>
        </w:rPr>
        <w:t>The tax identification notification form</w:t>
      </w:r>
    </w:p>
    <w:p w14:paraId="46115F65" w14:textId="77777777" w:rsidR="00557F4F" w:rsidRDefault="00F62FC6">
      <w:pPr>
        <w:widowControl w:val="0"/>
        <w:numPr>
          <w:ilvl w:val="0"/>
          <w:numId w:val="4"/>
        </w:numPr>
        <w:pBdr>
          <w:top w:val="nil"/>
          <w:left w:val="nil"/>
          <w:bottom w:val="nil"/>
          <w:right w:val="nil"/>
          <w:between w:val="nil"/>
        </w:pBdr>
        <w:spacing w:before="1" w:after="0" w:line="240" w:lineRule="auto"/>
        <w:ind w:left="360"/>
        <w:rPr>
          <w:rFonts w:ascii="Arial" w:eastAsia="Arial" w:hAnsi="Arial" w:cs="Arial"/>
          <w:color w:val="000000"/>
        </w:rPr>
      </w:pPr>
      <w:r>
        <w:rPr>
          <w:rFonts w:ascii="Arial" w:eastAsia="Arial" w:hAnsi="Arial" w:cs="Arial"/>
          <w:color w:val="000000"/>
        </w:rPr>
        <w:t xml:space="preserve">The association's annual activity and financial reports validated by the General Assembly for the last two years: 2022 and 2023.  </w:t>
      </w:r>
    </w:p>
    <w:p w14:paraId="46115F66" w14:textId="77777777" w:rsidR="00557F4F" w:rsidRDefault="00F62FC6">
      <w:pPr>
        <w:widowControl w:val="0"/>
        <w:numPr>
          <w:ilvl w:val="0"/>
          <w:numId w:val="4"/>
        </w:numPr>
        <w:pBdr>
          <w:top w:val="nil"/>
          <w:left w:val="nil"/>
          <w:bottom w:val="nil"/>
          <w:right w:val="nil"/>
          <w:between w:val="nil"/>
        </w:pBdr>
        <w:spacing w:before="1" w:after="0" w:line="240" w:lineRule="auto"/>
        <w:ind w:left="360"/>
        <w:rPr>
          <w:rFonts w:ascii="Arial" w:eastAsia="Arial" w:hAnsi="Arial" w:cs="Arial"/>
          <w:color w:val="000000"/>
        </w:rPr>
      </w:pPr>
      <w:r>
        <w:rPr>
          <w:rFonts w:ascii="Arial" w:eastAsia="Arial" w:hAnsi="Arial" w:cs="Arial"/>
          <w:color w:val="000000"/>
        </w:rPr>
        <w:t>The latest audit report on the CSO's accounts</w:t>
      </w:r>
    </w:p>
    <w:sectPr w:rsidR="00557F4F">
      <w:headerReference w:type="default" r:id="rId15"/>
      <w:footerReference w:type="default" r:id="rId16"/>
      <w:pgSz w:w="12240" w:h="15840"/>
      <w:pgMar w:top="1720" w:right="920" w:bottom="2180" w:left="980" w:header="772" w:footer="19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5F6F" w14:textId="77777777" w:rsidR="00F62FC6" w:rsidRDefault="00F62FC6">
      <w:pPr>
        <w:spacing w:after="0" w:line="240" w:lineRule="auto"/>
      </w:pPr>
      <w:r>
        <w:separator/>
      </w:r>
    </w:p>
  </w:endnote>
  <w:endnote w:type="continuationSeparator" w:id="0">
    <w:p w14:paraId="46115F71" w14:textId="77777777" w:rsidR="00F62FC6" w:rsidRDefault="00F6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auto"/>
    <w:pitch w:val="default"/>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5F6A" w14:textId="77777777" w:rsidR="00557F4F" w:rsidRDefault="00F62FC6">
    <w:pPr>
      <w:widowControl w:val="0"/>
      <w:pBdr>
        <w:top w:val="nil"/>
        <w:left w:val="nil"/>
        <w:bottom w:val="nil"/>
        <w:right w:val="nil"/>
        <w:between w:val="nil"/>
      </w:pBdr>
      <w:spacing w:after="0" w:line="14" w:lineRule="auto"/>
      <w:rPr>
        <w:rFonts w:ascii="Palatino Linotype" w:eastAsia="Palatino Linotype" w:hAnsi="Palatino Linotype" w:cs="Palatino Linotype"/>
        <w:color w:val="000000"/>
      </w:rPr>
    </w:pPr>
    <w:r>
      <w:rPr>
        <w:rFonts w:ascii="Palatino Linotype" w:eastAsia="Palatino Linotype" w:hAnsi="Palatino Linotype" w:cs="Palatino Linotype"/>
        <w:noProof/>
        <w:color w:val="000000"/>
      </w:rPr>
      <w:drawing>
        <wp:inline distT="0" distB="0" distL="0" distR="0" wp14:anchorId="46115F6B" wp14:editId="46115F6C">
          <wp:extent cx="6324598" cy="838200"/>
          <wp:effectExtent l="0" t="0" r="0" b="0"/>
          <wp:docPr id="2044224973" name="image1.png" descr="Une image contenant texte, logo, Police,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logo, Police, graphisme&#10;&#10;Description générée automatiquement"/>
                  <pic:cNvPicPr preferRelativeResize="0"/>
                </pic:nvPicPr>
                <pic:blipFill>
                  <a:blip r:embed="rId1"/>
                  <a:srcRect/>
                  <a:stretch>
                    <a:fillRect/>
                  </a:stretch>
                </pic:blipFill>
                <pic:spPr>
                  <a:xfrm>
                    <a:off x="0" y="0"/>
                    <a:ext cx="6324598" cy="838200"/>
                  </a:xfrm>
                  <a:prstGeom prst="rect">
                    <a:avLst/>
                  </a:prstGeom>
                  <a:ln/>
                </pic:spPr>
              </pic:pic>
            </a:graphicData>
          </a:graphic>
        </wp:inline>
      </w:drawing>
    </w:r>
    <w:r>
      <w:rPr>
        <w:rFonts w:ascii="Palatino Linotype" w:eastAsia="Palatino Linotype" w:hAnsi="Palatino Linotype" w:cs="Palatino Linotype"/>
        <w:color w:val="000000"/>
      </w:rPr>
      <w:br/>
    </w:r>
    <w:r>
      <w:rPr>
        <w:noProof/>
      </w:rPr>
      <mc:AlternateContent>
        <mc:Choice Requires="wps">
          <w:drawing>
            <wp:anchor distT="0" distB="0" distL="0" distR="0" simplePos="0" relativeHeight="251658240" behindDoc="1" locked="0" layoutInCell="1" hidden="0" allowOverlap="1" wp14:anchorId="46115F6D" wp14:editId="46115F6E">
              <wp:simplePos x="0" y="0"/>
              <wp:positionH relativeFrom="column">
                <wp:posOffset>38100</wp:posOffset>
              </wp:positionH>
              <wp:positionV relativeFrom="paragraph">
                <wp:posOffset>8648700</wp:posOffset>
              </wp:positionV>
              <wp:extent cx="5229225" cy="281940"/>
              <wp:effectExtent l="0" t="0" r="0" b="0"/>
              <wp:wrapNone/>
              <wp:docPr id="2044224971" name="Rectangle 2044224971"/>
              <wp:cNvGraphicFramePr/>
              <a:graphic xmlns:a="http://schemas.openxmlformats.org/drawingml/2006/main">
                <a:graphicData uri="http://schemas.microsoft.com/office/word/2010/wordprocessingShape">
                  <wps:wsp>
                    <wps:cNvSpPr/>
                    <wps:spPr>
                      <a:xfrm>
                        <a:off x="2736150" y="3643793"/>
                        <a:ext cx="5219700" cy="272415"/>
                      </a:xfrm>
                      <a:prstGeom prst="rect">
                        <a:avLst/>
                      </a:prstGeom>
                      <a:noFill/>
                      <a:ln>
                        <a:noFill/>
                      </a:ln>
                    </wps:spPr>
                    <wps:txbx>
                      <w:txbxContent>
                        <w:p w14:paraId="46115F6F" w14:textId="77777777" w:rsidR="00557F4F" w:rsidRDefault="00557F4F">
                          <w:pPr>
                            <w:spacing w:before="17" w:after="0" w:line="240" w:lineRule="auto"/>
                            <w:ind w:left="20"/>
                            <w:textDirection w:val="btLr"/>
                          </w:pPr>
                        </w:p>
                      </w:txbxContent>
                    </wps:txbx>
                    <wps:bodyPr spcFirstLastPara="1" wrap="square" lIns="0" tIns="0" rIns="0" bIns="0" anchor="t" anchorCtr="0">
                      <a:noAutofit/>
                    </wps:bodyPr>
                  </wps:wsp>
                </a:graphicData>
              </a:graphic>
            </wp:anchor>
          </w:drawing>
        </mc:Choice>
        <mc:Fallback>
          <w:pict>
            <v:rect w14:anchorId="46115F6D" id="Rectangle 2044224971" o:spid="_x0000_s1026" style="position:absolute;margin-left:3pt;margin-top:681pt;width:411.75pt;height:22.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" filled="f" stroked="f">
              <v:textbox inset="0,0,0,0">
                <w:txbxContent>
                  <w:p w14:paraId="46115F6F" w14:textId="77777777" w:rsidR="00557F4F" w:rsidRDefault="00557F4F">
                    <w:pPr>
                      <w:spacing w:before="17" w:after="0" w:line="240" w:lineRule="auto"/>
                      <w:ind w:left="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5F6B" w14:textId="77777777" w:rsidR="00F62FC6" w:rsidRDefault="00F62FC6">
      <w:pPr>
        <w:spacing w:after="0" w:line="240" w:lineRule="auto"/>
      </w:pPr>
      <w:r>
        <w:separator/>
      </w:r>
    </w:p>
  </w:footnote>
  <w:footnote w:type="continuationSeparator" w:id="0">
    <w:p w14:paraId="46115F6D" w14:textId="77777777" w:rsidR="00F62FC6" w:rsidRDefault="00F6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5F69" w14:textId="77777777" w:rsidR="00557F4F" w:rsidRDefault="00557F4F">
    <w:pPr>
      <w:widowControl w:val="0"/>
      <w:pBdr>
        <w:top w:val="nil"/>
        <w:left w:val="nil"/>
        <w:bottom w:val="nil"/>
        <w:right w:val="nil"/>
        <w:between w:val="nil"/>
      </w:pBdr>
      <w:spacing w:after="0" w:line="14" w:lineRule="auto"/>
      <w:rPr>
        <w:rFonts w:ascii="Palatino Linotype" w:eastAsia="Palatino Linotype" w:hAnsi="Palatino Linotype" w:cs="Palatino Linotype"/>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FCE"/>
    <w:multiLevelType w:val="multilevel"/>
    <w:tmpl w:val="AF2E27E6"/>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B66A18"/>
    <w:multiLevelType w:val="multilevel"/>
    <w:tmpl w:val="D9484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AB03E2"/>
    <w:multiLevelType w:val="multilevel"/>
    <w:tmpl w:val="59B6F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963573"/>
    <w:multiLevelType w:val="multilevel"/>
    <w:tmpl w:val="701C4E18"/>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127860"/>
    <w:multiLevelType w:val="multilevel"/>
    <w:tmpl w:val="9C7EF7F6"/>
    <w:lvl w:ilvl="0">
      <w:start w:val="1"/>
      <w:numFmt w:val="bullet"/>
      <w:lvlText w:val="-"/>
      <w:lvlJc w:val="left"/>
      <w:pPr>
        <w:ind w:left="1068" w:hanging="360"/>
      </w:pPr>
      <w:rPr>
        <w:rFonts w:ascii="Palatino Linotype" w:eastAsia="Palatino Linotype" w:hAnsi="Palatino Linotype" w:cs="Palatino Linotype"/>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591C5C6A"/>
    <w:multiLevelType w:val="multilevel"/>
    <w:tmpl w:val="2EFE1A96"/>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CF6E16"/>
    <w:multiLevelType w:val="multilevel"/>
    <w:tmpl w:val="315AB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1060672">
    <w:abstractNumId w:val="0"/>
  </w:num>
  <w:num w:numId="2" w16cid:durableId="1426919088">
    <w:abstractNumId w:val="4"/>
  </w:num>
  <w:num w:numId="3" w16cid:durableId="738866298">
    <w:abstractNumId w:val="3"/>
  </w:num>
  <w:num w:numId="4" w16cid:durableId="1497571880">
    <w:abstractNumId w:val="2"/>
  </w:num>
  <w:num w:numId="5" w16cid:durableId="944270906">
    <w:abstractNumId w:val="6"/>
  </w:num>
  <w:num w:numId="6" w16cid:durableId="296495958">
    <w:abstractNumId w:val="5"/>
  </w:num>
  <w:num w:numId="7" w16cid:durableId="57416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4F"/>
    <w:rsid w:val="00557F4F"/>
    <w:rsid w:val="00F62FC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6115F03"/>
  <w15:docId w15:val="{84A9AFFB-6AB7-F041-A6C1-30CE7D58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5909"/>
    <w:pPr>
      <w:widowControl w:val="0"/>
      <w:autoSpaceDE w:val="0"/>
      <w:autoSpaceDN w:val="0"/>
      <w:spacing w:after="0" w:line="240" w:lineRule="auto"/>
      <w:ind w:left="882"/>
      <w:outlineLvl w:val="0"/>
    </w:pPr>
    <w:rPr>
      <w:rFonts w:ascii="Palatino Linotype" w:eastAsia="Times New Roman" w:hAnsi="Palatino Linotype" w:cs="Palatino Linotype"/>
      <w:b/>
      <w:bCs/>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C5909"/>
    <w:rPr>
      <w:rFonts w:ascii="Palatino Linotype" w:eastAsia="Times New Roman" w:hAnsi="Palatino Linotype" w:cs="Palatino Linotype"/>
      <w:b/>
      <w:bCs/>
      <w:kern w:val="0"/>
      <w:u w:val="single" w:color="000000"/>
      <w:lang w:val="en-US"/>
    </w:rPr>
  </w:style>
  <w:style w:type="paragraph" w:styleId="BodyText">
    <w:name w:val="Body Text"/>
    <w:basedOn w:val="Normal"/>
    <w:link w:val="BodyTextChar"/>
    <w:uiPriority w:val="1"/>
    <w:qFormat/>
    <w:rsid w:val="00BC5909"/>
    <w:pPr>
      <w:widowControl w:val="0"/>
      <w:autoSpaceDE w:val="0"/>
      <w:autoSpaceDN w:val="0"/>
      <w:spacing w:after="0" w:line="240" w:lineRule="auto"/>
    </w:pPr>
    <w:rPr>
      <w:rFonts w:ascii="Palatino Linotype" w:eastAsia="Times New Roman" w:hAnsi="Palatino Linotype" w:cs="Palatino Linotype"/>
    </w:rPr>
  </w:style>
  <w:style w:type="character" w:customStyle="1" w:styleId="BodyTextChar">
    <w:name w:val="Body Text Char"/>
    <w:basedOn w:val="DefaultParagraphFont"/>
    <w:link w:val="BodyText"/>
    <w:uiPriority w:val="1"/>
    <w:rsid w:val="00BC5909"/>
    <w:rPr>
      <w:rFonts w:ascii="Palatino Linotype" w:eastAsia="Times New Roman" w:hAnsi="Palatino Linotype" w:cs="Palatino Linotype"/>
      <w:kern w:val="0"/>
      <w:lang w:val="en-US"/>
    </w:rPr>
  </w:style>
  <w:style w:type="paragraph" w:styleId="ListParagraph">
    <w:name w:val="List Paragraph"/>
    <w:basedOn w:val="Normal"/>
    <w:uiPriority w:val="1"/>
    <w:qFormat/>
    <w:rsid w:val="00BC5909"/>
    <w:pPr>
      <w:widowControl w:val="0"/>
      <w:autoSpaceDE w:val="0"/>
      <w:autoSpaceDN w:val="0"/>
      <w:spacing w:before="1" w:after="0" w:line="240" w:lineRule="auto"/>
      <w:ind w:left="289" w:hanging="361"/>
    </w:pPr>
    <w:rPr>
      <w:rFonts w:ascii="Palatino Linotype" w:eastAsia="Times New Roman" w:hAnsi="Palatino Linotype" w:cs="Palatino Linotype"/>
    </w:rPr>
  </w:style>
  <w:style w:type="paragraph" w:styleId="Header">
    <w:name w:val="header"/>
    <w:basedOn w:val="Normal"/>
    <w:link w:val="HeaderChar"/>
    <w:uiPriority w:val="99"/>
    <w:unhideWhenUsed/>
    <w:rsid w:val="00BC59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909"/>
  </w:style>
  <w:style w:type="paragraph" w:styleId="Footer">
    <w:name w:val="footer"/>
    <w:basedOn w:val="Normal"/>
    <w:link w:val="FooterChar"/>
    <w:uiPriority w:val="99"/>
    <w:unhideWhenUsed/>
    <w:rsid w:val="00BC59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909"/>
  </w:style>
  <w:style w:type="character" w:styleId="CommentReference">
    <w:name w:val="annotation reference"/>
    <w:basedOn w:val="DefaultParagraphFont"/>
    <w:uiPriority w:val="99"/>
    <w:semiHidden/>
    <w:unhideWhenUsed/>
    <w:rsid w:val="00DF3CAE"/>
    <w:rPr>
      <w:sz w:val="16"/>
      <w:szCs w:val="16"/>
    </w:rPr>
  </w:style>
  <w:style w:type="paragraph" w:styleId="CommentText">
    <w:name w:val="annotation text"/>
    <w:basedOn w:val="Normal"/>
    <w:link w:val="CommentTextChar"/>
    <w:uiPriority w:val="99"/>
    <w:unhideWhenUsed/>
    <w:rsid w:val="00DF3CAE"/>
    <w:pPr>
      <w:spacing w:line="240" w:lineRule="auto"/>
    </w:pPr>
    <w:rPr>
      <w:sz w:val="20"/>
      <w:szCs w:val="20"/>
    </w:rPr>
  </w:style>
  <w:style w:type="character" w:customStyle="1" w:styleId="CommentTextChar">
    <w:name w:val="Comment Text Char"/>
    <w:basedOn w:val="DefaultParagraphFont"/>
    <w:link w:val="CommentText"/>
    <w:uiPriority w:val="99"/>
    <w:rsid w:val="00DF3CAE"/>
    <w:rPr>
      <w:sz w:val="20"/>
      <w:szCs w:val="20"/>
    </w:rPr>
  </w:style>
  <w:style w:type="paragraph" w:styleId="CommentSubject">
    <w:name w:val="annotation subject"/>
    <w:basedOn w:val="CommentText"/>
    <w:next w:val="CommentText"/>
    <w:link w:val="CommentSubjectChar"/>
    <w:uiPriority w:val="99"/>
    <w:semiHidden/>
    <w:unhideWhenUsed/>
    <w:rsid w:val="00DF3CAE"/>
    <w:rPr>
      <w:b/>
      <w:bCs/>
    </w:rPr>
  </w:style>
  <w:style w:type="character" w:customStyle="1" w:styleId="CommentSubjectChar">
    <w:name w:val="Comment Subject Char"/>
    <w:basedOn w:val="CommentTextChar"/>
    <w:link w:val="CommentSubject"/>
    <w:uiPriority w:val="99"/>
    <w:semiHidden/>
    <w:rsid w:val="00DF3CAE"/>
    <w:rPr>
      <w:b/>
      <w:bCs/>
      <w:sz w:val="20"/>
      <w:szCs w:val="20"/>
    </w:rPr>
  </w:style>
  <w:style w:type="character" w:styleId="Hyperlink">
    <w:name w:val="Hyperlink"/>
    <w:basedOn w:val="DefaultParagraphFont"/>
    <w:uiPriority w:val="99"/>
    <w:unhideWhenUsed/>
    <w:rsid w:val="00717BC7"/>
    <w:rPr>
      <w:color w:val="0563C1" w:themeColor="hyperlink"/>
      <w:u w:val="single"/>
    </w:rPr>
  </w:style>
  <w:style w:type="character" w:styleId="UnresolvedMention">
    <w:name w:val="Unresolved Mention"/>
    <w:basedOn w:val="DefaultParagraphFont"/>
    <w:uiPriority w:val="99"/>
    <w:semiHidden/>
    <w:unhideWhenUsed/>
    <w:rsid w:val="00717BC7"/>
    <w:rPr>
      <w:color w:val="605E5C"/>
      <w:shd w:val="clear" w:color="auto" w:fill="E1DFDD"/>
    </w:rPr>
  </w:style>
  <w:style w:type="paragraph" w:customStyle="1" w:styleId="paragraph">
    <w:name w:val="paragraph"/>
    <w:basedOn w:val="Normal"/>
    <w:rsid w:val="00261B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DefaultParagraphFont"/>
    <w:rsid w:val="00261B6F"/>
  </w:style>
  <w:style w:type="character" w:customStyle="1" w:styleId="eop">
    <w:name w:val="eop"/>
    <w:basedOn w:val="DefaultParagraphFont"/>
    <w:rsid w:val="00261B6F"/>
  </w:style>
  <w:style w:type="paragraph" w:customStyle="1" w:styleId="SubTitle2">
    <w:name w:val="SubTitle 2"/>
    <w:basedOn w:val="Normal"/>
    <w:uiPriority w:val="1"/>
    <w:rsid w:val="4A517613"/>
    <w:pPr>
      <w:spacing w:after="240"/>
      <w:jc w:val="center"/>
    </w:pPr>
    <w:rPr>
      <w:rFonts w:ascii="Times New Roman" w:eastAsia="Times New Roman" w:hAnsi="Times New Roman" w:cs="Times New Roman"/>
      <w:b/>
      <w:bCs/>
      <w:sz w:val="32"/>
      <w:szCs w:val="32"/>
      <w:lang w:val="en-GB"/>
    </w:rPr>
  </w:style>
  <w:style w:type="paragraph" w:customStyle="1" w:styleId="SubTitle1">
    <w:name w:val="SubTitle 1"/>
    <w:basedOn w:val="Normal"/>
    <w:next w:val="SubTitle2"/>
    <w:uiPriority w:val="1"/>
    <w:rsid w:val="4A517613"/>
    <w:pPr>
      <w:spacing w:after="240"/>
      <w:jc w:val="center"/>
    </w:pPr>
    <w:rPr>
      <w:rFonts w:ascii="Times New Roman" w:eastAsia="Times New Roman" w:hAnsi="Times New Roman" w:cs="Times New Roman"/>
      <w:b/>
      <w:bCs/>
      <w:sz w:val="40"/>
      <w:szCs w:val="40"/>
      <w:lang w:val="en-GB"/>
    </w:rPr>
  </w:style>
  <w:style w:type="paragraph" w:styleId="Revision">
    <w:name w:val="Revision"/>
    <w:hidden/>
    <w:uiPriority w:val="99"/>
    <w:semiHidden/>
    <w:rsid w:val="001D1906"/>
    <w:pPr>
      <w:spacing w:after="0" w:line="240" w:lineRule="auto"/>
    </w:pPr>
  </w:style>
  <w:style w:type="character" w:styleId="Mention">
    <w:name w:val="Mention"/>
    <w:basedOn w:val="DefaultParagraphFont"/>
    <w:uiPriority w:val="99"/>
    <w:unhideWhenUsed/>
    <w:rsid w:val="00C268E2"/>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jalat.remdh@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gend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rnativ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omedrights.org/" TargetMode="External"/><Relationship Id="rId4" Type="http://schemas.openxmlformats.org/officeDocument/2006/relationships/settings" Target="settings.xml"/><Relationship Id="rId9" Type="http://schemas.openxmlformats.org/officeDocument/2006/relationships/hyperlink" Target="https://euromedrights.org/majalat-ii/" TargetMode="External"/><Relationship Id="rId14" Type="http://schemas.openxmlformats.org/officeDocument/2006/relationships/hyperlink" Target="https://euromedrights.org/majalat-i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YB6ZqATVhj156BsSEd4sRNxHlw==">CgMxLjA4AHIhMTcxRVBNV3hFOW9GclJKeVZxel92ZGJUMEFxdDRhUThG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Inès Yahmed</dc:creator>
  <cp:lastModifiedBy>Maxence Salendre</cp:lastModifiedBy>
  <cp:revision>1</cp:revision>
  <dcterms:created xsi:type="dcterms:W3CDTF">2024-01-21T15:08:00Z</dcterms:created>
  <dcterms:modified xsi:type="dcterms:W3CDTF">2024-01-26T08:08:00Z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0x01010084B8D2023498A44B89E6E7755CB70E66</vt:lpwstr>
  </property>
</Properties>
</file>